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11"/>
        <w:rPr/>
      </w:pPr>
    </w:p>
    <w:p>
      <w:pPr>
        <w:pStyle w:val="style0"/>
        <w:spacing w:after="0"/>
        <w:jc w:val="center"/>
        <w:rPr>
          <w:rFonts w:ascii="Leelawadee" w:cs="Leelawadee" w:hAnsi="Leelawadee"/>
          <w:b/>
          <w:bCs/>
          <w:sz w:val="28"/>
          <w:szCs w:val="28"/>
        </w:rPr>
      </w:pPr>
      <w:r>
        <w:rPr>
          <w:rFonts w:ascii="Times New Roman" w:hAnsi="Times New Roman"/>
          <w:noProof/>
          <w:sz w:val="24"/>
          <w:szCs w:val="24"/>
        </w:rPr>
        <w:drawing>
          <wp:inline distL="0" distT="0" distB="0" distR="0">
            <wp:extent cx="1768475" cy="1388745"/>
            <wp:effectExtent l="0" t="0" r="3175" b="1905"/>
            <wp:docPr id="1026"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 cstate="print"/>
                    <a:srcRect l="0" t="0" r="0" b="0"/>
                    <a:stretch/>
                  </pic:blipFill>
                  <pic:spPr>
                    <a:xfrm rot="0">
                      <a:off x="0" y="0"/>
                      <a:ext cx="1768475" cy="1388745"/>
                    </a:xfrm>
                    <a:prstGeom prst="rect"/>
                    <a:ln>
                      <a:noFill/>
                    </a:ln>
                  </pic:spPr>
                </pic:pic>
              </a:graphicData>
            </a:graphic>
          </wp:inline>
        </w:drawing>
      </w:r>
    </w:p>
    <w:p>
      <w:pPr>
        <w:pStyle w:val="style0"/>
        <w:spacing w:after="0"/>
        <w:jc w:val="center"/>
        <w:rPr>
          <w:rFonts w:ascii="Leelawadee" w:cs="Leelawadee" w:hAnsi="Leelawadee"/>
          <w:b/>
          <w:bCs/>
          <w:sz w:val="28"/>
          <w:szCs w:val="28"/>
        </w:rPr>
      </w:pPr>
    </w:p>
    <w:p>
      <w:pPr>
        <w:pStyle w:val="style0"/>
        <w:spacing w:after="0"/>
        <w:jc w:val="center"/>
        <w:rPr>
          <w:rFonts w:ascii="Leelawadee" w:cs="Leelawadee" w:hAnsi="Leelawadee"/>
          <w:b/>
          <w:bCs/>
          <w:sz w:val="28"/>
          <w:szCs w:val="28"/>
        </w:rPr>
      </w:pPr>
    </w:p>
    <w:p>
      <w:pPr>
        <w:pStyle w:val="style0"/>
        <w:spacing w:after="0"/>
        <w:jc w:val="center"/>
        <w:rPr>
          <w:rFonts w:ascii="Leelawadee" w:cs="Leelawadee" w:hAnsi="Leelawadee"/>
          <w:b/>
          <w:bCs/>
          <w:sz w:val="28"/>
          <w:szCs w:val="28"/>
        </w:rPr>
      </w:pPr>
    </w:p>
    <w:p>
      <w:pPr>
        <w:pStyle w:val="style0"/>
        <w:spacing w:after="0" w:lineRule="auto" w:line="360"/>
        <w:jc w:val="center"/>
        <w:rPr>
          <w:rFonts w:ascii="Arial Black" w:cs="Leelawadee" w:hAnsi="Arial Black"/>
          <w:b/>
          <w:bCs/>
          <w:sz w:val="28"/>
          <w:szCs w:val="28"/>
        </w:rPr>
      </w:pPr>
      <w:r>
        <w:rPr>
          <w:rFonts w:ascii="Arial Black" w:cs="Leelawadee" w:hAnsi="Arial Black"/>
          <w:b/>
          <w:bCs/>
          <w:sz w:val="28"/>
          <w:szCs w:val="28"/>
        </w:rPr>
        <w:t>K</w:t>
      </w:r>
      <w:r>
        <w:rPr>
          <w:rFonts w:ascii="Arial Black" w:cs="Leelawadee" w:hAnsi="Arial Black"/>
          <w:b/>
          <w:bCs/>
          <w:sz w:val="28"/>
          <w:szCs w:val="28"/>
        </w:rPr>
        <w:t>ANO</w:t>
      </w:r>
      <w:r>
        <w:rPr>
          <w:rFonts w:ascii="Arial Black" w:cs="Leelawadee" w:hAnsi="Arial Black"/>
          <w:b/>
          <w:bCs/>
          <w:sz w:val="28"/>
          <w:szCs w:val="28"/>
        </w:rPr>
        <w:t xml:space="preserve"> STATE</w:t>
      </w:r>
      <w:r>
        <w:rPr>
          <w:rFonts w:ascii="Arial Black" w:cs="Leelawadee" w:hAnsi="Arial Black"/>
          <w:b/>
          <w:bCs/>
          <w:sz w:val="28"/>
          <w:szCs w:val="28"/>
        </w:rPr>
        <w:t xml:space="preserve"> GOVERNMENT</w:t>
      </w: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0"/>
        <w:spacing w:after="0" w:lineRule="auto" w:line="360"/>
        <w:jc w:val="center"/>
        <w:rPr>
          <w:rFonts w:ascii="Leelawadee" w:cs="Leelawadee" w:hAnsi="Leelawadee"/>
          <w:b/>
          <w:bCs/>
          <w:sz w:val="28"/>
          <w:szCs w:val="28"/>
        </w:rPr>
      </w:pPr>
    </w:p>
    <w:p>
      <w:pPr>
        <w:pStyle w:val="style0"/>
        <w:spacing w:after="0"/>
        <w:jc w:val="cente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pPr>
      <w: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t>202</w:t>
      </w:r>
      <w: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t>2</w:t>
      </w:r>
    </w:p>
    <w:p>
      <w:pPr>
        <w:pStyle w:val="style0"/>
        <w:spacing w:after="0"/>
        <w:jc w:val="cente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pPr>
      <w: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t xml:space="preserve">DEBT SUSTAINABILITY ANALYSIS &amp; </w:t>
      </w:r>
    </w:p>
    <w:p>
      <w:pPr>
        <w:pStyle w:val="style0"/>
        <w:spacing w:after="0"/>
        <w:jc w:val="cente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pPr>
      <w: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t>DEBT MANAGEMENT STRATEGY (DSA-DMS)</w:t>
      </w:r>
    </w:p>
    <w:p>
      <w:pPr>
        <w:pStyle w:val="style0"/>
        <w:spacing w:after="0"/>
        <w:jc w:val="cente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pPr>
      <w:r>
        <w:rPr>
          <w:rFonts w:ascii="Arial Black" w:cs="Leelawadee" w:hAnsi="Arial Black"/>
          <w:b/>
          <w:bCs/>
          <w:color w:val="000000"/>
          <w:sz w:val="32"/>
          <w:szCs w:val="32"/>
          <w14:shadow w14:blurRad="12700" w14:ky="0" w14:dir="2700000" w14:kx="0" w14:algn="tl" w14:sy="100000" w14:sx="100000" w14:dist="38100">
            <w14:srgbClr w14:val="7f7f7f"/>
          </w14:shadow>
          <w14:textOutline w14:w="9525" w14:cmpd="sng" w14:cap="flat">
            <w14:solidFill>
              <w14:srgbClr w14:val="ffffff"/>
            </w14:solidFill>
            <w14:prstDash w14:val="solid"/>
            <w14:round/>
          </w14:textOutline>
        </w:rPr>
        <w:t>REPORT</w:t>
      </w:r>
    </w:p>
    <w:p>
      <w:pPr>
        <w:pStyle w:val="style0"/>
        <w:spacing w:lineRule="auto" w:line="360"/>
        <w:jc w:val="center"/>
        <w:rPr>
          <w:rFonts w:ascii="Leelawadee" w:cs="Leelawadee" w:hAnsi="Leelawadee"/>
          <w:b/>
          <w:bCs/>
          <w:sz w:val="28"/>
          <w:szCs w:val="28"/>
        </w:rPr>
      </w:pP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0"/>
        <w:spacing w:lineRule="auto" w:line="360"/>
        <w:rPr>
          <w:rFonts w:ascii="Leelawadee" w:cs="Leelawadee" w:hAnsi="Leelawadee"/>
        </w:rPr>
      </w:pPr>
    </w:p>
    <w:p>
      <w:pPr>
        <w:pStyle w:val="style266"/>
        <w:spacing w:lineRule="auto" w:line="480"/>
        <w:rPr>
          <w:rFonts w:ascii="Tahoma" w:cs="Tahoma" w:hAnsi="Tahoma"/>
          <w:b/>
          <w:bCs/>
          <w:color w:val="4472c4"/>
          <w:sz w:val="28"/>
          <w:szCs w:val="28"/>
        </w:rPr>
      </w:pPr>
      <w:r>
        <w:rPr>
          <w:rFonts w:ascii="Tahoma" w:cs="Tahoma" w:hAnsi="Tahoma"/>
          <w:b/>
          <w:bCs/>
          <w:color w:val="4472c4"/>
          <w:sz w:val="28"/>
          <w:szCs w:val="28"/>
        </w:rPr>
        <w:t>Table of Contents</w:t>
      </w:r>
    </w:p>
    <w:p>
      <w:pPr>
        <w:pStyle w:val="style19"/>
        <w:tabs>
          <w:tab w:val="right" w:leader="dot" w:pos="9350"/>
        </w:tabs>
        <w:spacing w:lineRule="auto" w:line="480"/>
        <w:rPr>
          <w:rFonts w:ascii="Calibri" w:cs="宋体" w:eastAsia="宋体" w:hAnsi="Calibri"/>
          <w:noProof/>
        </w:rPr>
      </w:pPr>
      <w:r>
        <w:rPr>
          <w:rFonts w:ascii="Tahoma" w:cs="Tahoma" w:hAnsi="Tahoma"/>
        </w:rPr>
        <w:fldChar w:fldCharType="begin"/>
      </w:r>
      <w:r>
        <w:rPr>
          <w:rFonts w:ascii="Tahoma" w:cs="Tahoma" w:hAnsi="Tahoma"/>
        </w:rPr>
        <w:instrText xml:space="preserve"> TOC \o "1-3" \h \z \u </w:instrText>
      </w:r>
      <w:r>
        <w:rPr>
          <w:rFonts w:ascii="Tahoma" w:cs="Tahoma" w:hAnsi="Tahoma"/>
        </w:rPr>
        <w:fldChar w:fldCharType="separate"/>
      </w:r>
      <w:r>
        <w:rPr/>
        <w:fldChar w:fldCharType="begin"/>
      </w:r>
      <w:r>
        <w:instrText xml:space="preserve"> HYPERLINK \l "_Toc116071683" </w:instrText>
      </w:r>
      <w:r>
        <w:rPr/>
        <w:fldChar w:fldCharType="separate"/>
      </w:r>
      <w:r>
        <w:rPr>
          <w:rStyle w:val="style85"/>
          <w:rFonts w:ascii="Tahoma" w:cs="Tahoma" w:hAnsi="Tahoma"/>
          <w:b/>
          <w:bCs/>
          <w:noProof/>
        </w:rPr>
        <w:t>Chapter 1: Introduction</w:t>
      </w:r>
      <w:r>
        <w:rPr>
          <w:noProof/>
          <w:webHidden/>
        </w:rPr>
        <w:tab/>
      </w:r>
      <w:r>
        <w:rPr>
          <w:noProof/>
          <w:webHidden/>
        </w:rPr>
        <w:fldChar w:fldCharType="begin"/>
      </w:r>
      <w:r>
        <w:rPr>
          <w:noProof/>
          <w:webHidden/>
        </w:rPr>
        <w:instrText xml:space="preserve"> PAGEREF _Toc116071683 \h </w:instrText>
      </w:r>
      <w:r>
        <w:rPr>
          <w:noProof/>
          <w:webHidden/>
        </w:rPr>
        <w:fldChar w:fldCharType="separate"/>
      </w:r>
      <w:r>
        <w:rPr>
          <w:noProof/>
          <w:webHidden/>
        </w:rPr>
        <w:t>2</w:t>
      </w:r>
      <w:r>
        <w:rPr>
          <w:noProof/>
          <w:webHidden/>
        </w:rPr>
        <w:fldChar w:fldCharType="end"/>
      </w:r>
      <w:r>
        <w:rPr/>
        <w:fldChar w:fldCharType="end"/>
      </w:r>
    </w:p>
    <w:p>
      <w:pPr>
        <w:pStyle w:val="style19"/>
        <w:tabs>
          <w:tab w:val="right" w:leader="dot" w:pos="9350"/>
        </w:tabs>
        <w:spacing w:lineRule="auto" w:line="480"/>
        <w:rPr>
          <w:rFonts w:ascii="Calibri" w:cs="宋体" w:eastAsia="宋体" w:hAnsi="Calibri"/>
          <w:noProof/>
        </w:rPr>
      </w:pPr>
      <w:r>
        <w:rPr/>
        <w:fldChar w:fldCharType="begin"/>
      </w:r>
      <w:r>
        <w:instrText xml:space="preserve"> HYPERLINK \l "_Toc116071684" </w:instrText>
      </w:r>
      <w:r>
        <w:rPr/>
        <w:fldChar w:fldCharType="separate"/>
      </w:r>
      <w:r>
        <w:rPr>
          <w:rStyle w:val="style85"/>
          <w:rFonts w:ascii="Tahoma" w:cs="Tahoma" w:hAnsi="Tahoma"/>
          <w:b/>
          <w:bCs/>
          <w:noProof/>
        </w:rPr>
        <w:t>Chapter 2: The State Fiscal and Debt Framework</w:t>
      </w:r>
      <w:r>
        <w:rPr>
          <w:noProof/>
          <w:webHidden/>
        </w:rPr>
        <w:tab/>
      </w:r>
      <w:r>
        <w:rPr>
          <w:noProof/>
          <w:webHidden/>
        </w:rPr>
        <w:fldChar w:fldCharType="begin"/>
      </w:r>
      <w:r>
        <w:rPr>
          <w:noProof/>
          <w:webHidden/>
        </w:rPr>
        <w:instrText xml:space="preserve"> PAGEREF _Toc116071684 \h </w:instrText>
      </w:r>
      <w:r>
        <w:rPr>
          <w:noProof/>
          <w:webHidden/>
        </w:rPr>
        <w:fldChar w:fldCharType="separate"/>
      </w:r>
      <w:r>
        <w:rPr>
          <w:noProof/>
          <w:webHidden/>
        </w:rPr>
        <w:t>5</w:t>
      </w:r>
      <w:r>
        <w:rPr>
          <w:noProof/>
          <w:webHidden/>
        </w:rPr>
        <w:fldChar w:fldCharType="end"/>
      </w:r>
      <w:r>
        <w:rPr/>
        <w:fldChar w:fldCharType="end"/>
      </w:r>
    </w:p>
    <w:p>
      <w:pPr>
        <w:pStyle w:val="style19"/>
        <w:tabs>
          <w:tab w:val="right" w:leader="dot" w:pos="9350"/>
        </w:tabs>
        <w:spacing w:lineRule="auto" w:line="480"/>
        <w:rPr>
          <w:rFonts w:ascii="Calibri" w:cs="宋体" w:eastAsia="宋体" w:hAnsi="Calibri"/>
          <w:noProof/>
        </w:rPr>
      </w:pPr>
      <w:r>
        <w:rPr/>
        <w:fldChar w:fldCharType="begin"/>
      </w:r>
      <w:r>
        <w:instrText xml:space="preserve"> HYPERLINK \l "_Toc116071685" </w:instrText>
      </w:r>
      <w:r>
        <w:rPr/>
        <w:fldChar w:fldCharType="separate"/>
      </w:r>
      <w:r>
        <w:rPr>
          <w:rStyle w:val="style85"/>
          <w:rFonts w:ascii="Tahoma" w:cs="Tahoma" w:hAnsi="Tahoma"/>
          <w:b/>
          <w:bCs/>
          <w:noProof/>
        </w:rPr>
        <w:t>Chapter 3: The State Revenue, Expenditure, and Public Debt Trends (2017 - 2021)</w:t>
      </w:r>
      <w:r>
        <w:rPr>
          <w:noProof/>
          <w:webHidden/>
        </w:rPr>
        <w:tab/>
      </w:r>
      <w:r>
        <w:rPr>
          <w:noProof/>
          <w:webHidden/>
        </w:rPr>
        <w:fldChar w:fldCharType="begin"/>
      </w:r>
      <w:r>
        <w:rPr>
          <w:noProof/>
          <w:webHidden/>
        </w:rPr>
        <w:instrText xml:space="preserve"> PAGEREF _Toc116071685 \h </w:instrText>
      </w:r>
      <w:r>
        <w:rPr>
          <w:noProof/>
          <w:webHidden/>
        </w:rPr>
        <w:fldChar w:fldCharType="separate"/>
      </w:r>
      <w:r>
        <w:rPr>
          <w:noProof/>
          <w:webHidden/>
        </w:rPr>
        <w:t>12</w:t>
      </w:r>
      <w:r>
        <w:rPr>
          <w:noProof/>
          <w:webHidden/>
        </w:rPr>
        <w:fldChar w:fldCharType="end"/>
      </w:r>
      <w:r>
        <w:rPr/>
        <w:fldChar w:fldCharType="end"/>
      </w:r>
    </w:p>
    <w:p>
      <w:pPr>
        <w:pStyle w:val="style19"/>
        <w:tabs>
          <w:tab w:val="right" w:leader="dot" w:pos="9350"/>
        </w:tabs>
        <w:spacing w:lineRule="auto" w:line="480"/>
        <w:rPr>
          <w:rFonts w:ascii="Calibri" w:cs="宋体" w:eastAsia="宋体" w:hAnsi="Calibri"/>
          <w:noProof/>
        </w:rPr>
      </w:pPr>
      <w:r>
        <w:rPr/>
        <w:fldChar w:fldCharType="begin"/>
      </w:r>
      <w:r>
        <w:instrText xml:space="preserve"> HYPERLINK \l "_Toc116071686" </w:instrText>
      </w:r>
      <w:r>
        <w:rPr/>
        <w:fldChar w:fldCharType="separate"/>
      </w:r>
      <w:r>
        <w:rPr>
          <w:rStyle w:val="style85"/>
          <w:rFonts w:ascii="Tahoma" w:cs="Tahoma" w:hAnsi="Tahoma"/>
          <w:b/>
          <w:bCs/>
          <w:noProof/>
        </w:rPr>
        <w:t>Chapter 4: Debt Sustainability Analysis</w:t>
      </w:r>
      <w:r>
        <w:rPr>
          <w:noProof/>
          <w:webHidden/>
        </w:rPr>
        <w:tab/>
      </w:r>
      <w:r>
        <w:rPr>
          <w:noProof/>
          <w:webHidden/>
        </w:rPr>
        <w:fldChar w:fldCharType="begin"/>
      </w:r>
      <w:r>
        <w:rPr>
          <w:noProof/>
          <w:webHidden/>
        </w:rPr>
        <w:instrText xml:space="preserve"> PAGEREF _Toc116071686 \h </w:instrText>
      </w:r>
      <w:r>
        <w:rPr>
          <w:noProof/>
          <w:webHidden/>
        </w:rPr>
        <w:fldChar w:fldCharType="separate"/>
      </w:r>
      <w:r>
        <w:rPr>
          <w:noProof/>
          <w:webHidden/>
        </w:rPr>
        <w:t>19</w:t>
      </w:r>
      <w:r>
        <w:rPr>
          <w:noProof/>
          <w:webHidden/>
        </w:rPr>
        <w:fldChar w:fldCharType="end"/>
      </w:r>
      <w:r>
        <w:rPr/>
        <w:fldChar w:fldCharType="end"/>
      </w:r>
    </w:p>
    <w:p>
      <w:pPr>
        <w:pStyle w:val="style19"/>
        <w:tabs>
          <w:tab w:val="right" w:leader="dot" w:pos="9350"/>
        </w:tabs>
        <w:spacing w:lineRule="auto" w:line="480"/>
        <w:rPr>
          <w:rFonts w:ascii="Calibri" w:cs="宋体" w:eastAsia="宋体" w:hAnsi="Calibri"/>
          <w:noProof/>
        </w:rPr>
      </w:pPr>
      <w:r>
        <w:rPr/>
        <w:fldChar w:fldCharType="begin"/>
      </w:r>
      <w:r>
        <w:instrText xml:space="preserve"> HYPERLINK \l "_Toc116071687" </w:instrText>
      </w:r>
      <w:r>
        <w:rPr/>
        <w:fldChar w:fldCharType="separate"/>
      </w:r>
      <w:r>
        <w:rPr>
          <w:rStyle w:val="style85"/>
          <w:rFonts w:ascii="Tahoma" w:cs="Tahoma" w:hAnsi="Tahoma"/>
          <w:b/>
          <w:bCs/>
          <w:noProof/>
        </w:rPr>
        <w:t>Chapter 5: Debt Management Strategy</w:t>
      </w:r>
      <w:r>
        <w:rPr>
          <w:noProof/>
          <w:webHidden/>
        </w:rPr>
        <w:tab/>
      </w:r>
      <w:r>
        <w:rPr>
          <w:noProof/>
          <w:webHidden/>
        </w:rPr>
        <w:fldChar w:fldCharType="begin"/>
      </w:r>
      <w:r>
        <w:rPr>
          <w:noProof/>
          <w:webHidden/>
        </w:rPr>
        <w:instrText xml:space="preserve"> PAGEREF _Toc116071687 \h </w:instrText>
      </w:r>
      <w:r>
        <w:rPr>
          <w:noProof/>
          <w:webHidden/>
        </w:rPr>
        <w:fldChar w:fldCharType="separate"/>
      </w:r>
      <w:r>
        <w:rPr>
          <w:noProof/>
          <w:webHidden/>
        </w:rPr>
        <w:t>30</w:t>
      </w:r>
      <w:r>
        <w:rPr>
          <w:noProof/>
          <w:webHidden/>
        </w:rPr>
        <w:fldChar w:fldCharType="end"/>
      </w:r>
      <w:r>
        <w:rPr/>
        <w:fldChar w:fldCharType="end"/>
      </w:r>
    </w:p>
    <w:p>
      <w:pPr>
        <w:pStyle w:val="style20"/>
        <w:tabs>
          <w:tab w:val="right" w:leader="dot" w:pos="9350"/>
        </w:tabs>
        <w:spacing w:lineRule="auto" w:line="480"/>
        <w:rPr>
          <w:rFonts w:ascii="Calibri" w:cs="宋体" w:eastAsia="宋体" w:hAnsi="Calibri"/>
          <w:noProof/>
        </w:rPr>
      </w:pPr>
      <w:r>
        <w:rPr/>
        <w:fldChar w:fldCharType="begin"/>
      </w:r>
      <w:r>
        <w:instrText xml:space="preserve"> HYPERLINK \l "_Toc116071688" </w:instrText>
      </w:r>
      <w:r>
        <w:rPr/>
        <w:fldChar w:fldCharType="separate"/>
      </w:r>
      <w:r>
        <w:rPr>
          <w:rStyle w:val="style85"/>
          <w:rFonts w:ascii="Tahoma" w:cs="Tahoma" w:hAnsi="Tahoma"/>
          <w:noProof/>
        </w:rPr>
        <w:t>Annex I: Baseline Assumptions</w:t>
      </w:r>
      <w:r>
        <w:rPr>
          <w:noProof/>
          <w:webHidden/>
        </w:rPr>
        <w:tab/>
      </w:r>
      <w:r>
        <w:rPr>
          <w:noProof/>
          <w:webHidden/>
        </w:rPr>
        <w:fldChar w:fldCharType="begin"/>
      </w:r>
      <w:r>
        <w:rPr>
          <w:noProof/>
          <w:webHidden/>
        </w:rPr>
        <w:instrText xml:space="preserve"> PAGEREF _Toc116071688 \h </w:instrText>
      </w:r>
      <w:r>
        <w:rPr>
          <w:noProof/>
          <w:webHidden/>
        </w:rPr>
        <w:fldChar w:fldCharType="separate"/>
      </w:r>
      <w:r>
        <w:rPr>
          <w:noProof/>
          <w:webHidden/>
        </w:rPr>
        <w:t>35</w:t>
      </w:r>
      <w:r>
        <w:rPr>
          <w:noProof/>
          <w:webHidden/>
        </w:rPr>
        <w:fldChar w:fldCharType="end"/>
      </w:r>
      <w:r>
        <w:rPr/>
        <w:fldChar w:fldCharType="end"/>
      </w:r>
    </w:p>
    <w:p>
      <w:pPr>
        <w:pStyle w:val="style20"/>
        <w:tabs>
          <w:tab w:val="right" w:leader="dot" w:pos="9350"/>
        </w:tabs>
        <w:spacing w:lineRule="auto" w:line="480"/>
        <w:rPr>
          <w:rFonts w:ascii="Calibri" w:cs="宋体" w:eastAsia="宋体" w:hAnsi="Calibri"/>
          <w:noProof/>
        </w:rPr>
      </w:pPr>
      <w:r>
        <w:rPr/>
        <w:fldChar w:fldCharType="begin"/>
      </w:r>
      <w:r>
        <w:instrText xml:space="preserve"> HYPERLINK \l "_Toc116071689" </w:instrText>
      </w:r>
      <w:r>
        <w:rPr/>
        <w:fldChar w:fldCharType="separate"/>
      </w:r>
      <w:r>
        <w:rPr>
          <w:rStyle w:val="style85"/>
          <w:rFonts w:ascii="Leelawadee" w:cs="Leelawadee" w:hAnsi="Leelawadee"/>
          <w:noProof/>
        </w:rPr>
        <w:t>Annex II: Kano State Baseline Scenarios, 2017-2031</w:t>
      </w:r>
      <w:r>
        <w:rPr>
          <w:noProof/>
          <w:webHidden/>
        </w:rPr>
        <w:tab/>
      </w:r>
      <w:r>
        <w:rPr>
          <w:noProof/>
          <w:webHidden/>
        </w:rPr>
        <w:fldChar w:fldCharType="begin"/>
      </w:r>
      <w:r>
        <w:rPr>
          <w:noProof/>
          <w:webHidden/>
        </w:rPr>
        <w:instrText xml:space="preserve"> PAGEREF _Toc116071689 \h </w:instrText>
      </w:r>
      <w:r>
        <w:rPr>
          <w:noProof/>
          <w:webHidden/>
        </w:rPr>
        <w:fldChar w:fldCharType="separate"/>
      </w:r>
      <w:r>
        <w:rPr>
          <w:noProof/>
          <w:webHidden/>
        </w:rPr>
        <w:t>38</w:t>
      </w:r>
      <w:r>
        <w:rPr>
          <w:noProof/>
          <w:webHidden/>
        </w:rPr>
        <w:fldChar w:fldCharType="end"/>
      </w:r>
      <w:r>
        <w:rPr/>
        <w:fldChar w:fldCharType="end"/>
      </w:r>
    </w:p>
    <w:p>
      <w:pPr>
        <w:pStyle w:val="style20"/>
        <w:tabs>
          <w:tab w:val="right" w:leader="dot" w:pos="9350"/>
        </w:tabs>
        <w:spacing w:lineRule="auto" w:line="480"/>
        <w:rPr>
          <w:rFonts w:ascii="Calibri" w:cs="宋体" w:eastAsia="宋体" w:hAnsi="Calibri"/>
          <w:noProof/>
        </w:rPr>
      </w:pPr>
      <w:r>
        <w:rPr/>
        <w:fldChar w:fldCharType="begin"/>
      </w:r>
      <w:r>
        <w:instrText xml:space="preserve"> HYPERLINK \l "_Toc116071690" </w:instrText>
      </w:r>
      <w:r>
        <w:rPr/>
        <w:fldChar w:fldCharType="separate"/>
      </w:r>
      <w:r>
        <w:rPr>
          <w:rStyle w:val="style85"/>
          <w:rFonts w:ascii="Leelawadee" w:cs="Leelawadee" w:hAnsi="Leelawadee"/>
          <w:noProof/>
        </w:rPr>
        <w:t>Kano State - Technical Team</w:t>
      </w:r>
      <w:r>
        <w:rPr>
          <w:noProof/>
          <w:webHidden/>
        </w:rPr>
        <w:tab/>
      </w:r>
      <w:r>
        <w:rPr>
          <w:noProof/>
          <w:webHidden/>
        </w:rPr>
        <w:fldChar w:fldCharType="begin"/>
      </w:r>
      <w:r>
        <w:rPr>
          <w:noProof/>
          <w:webHidden/>
        </w:rPr>
        <w:instrText xml:space="preserve"> PAGEREF _Toc116071690 \h </w:instrText>
      </w:r>
      <w:r>
        <w:rPr>
          <w:noProof/>
          <w:webHidden/>
        </w:rPr>
        <w:fldChar w:fldCharType="separate"/>
      </w:r>
      <w:r>
        <w:rPr>
          <w:noProof/>
          <w:webHidden/>
        </w:rPr>
        <w:t>40</w:t>
      </w:r>
      <w:r>
        <w:rPr>
          <w:noProof/>
          <w:webHidden/>
        </w:rPr>
        <w:fldChar w:fldCharType="end"/>
      </w:r>
      <w:r>
        <w:rPr/>
        <w:fldChar w:fldCharType="end"/>
      </w:r>
    </w:p>
    <w:p>
      <w:pPr>
        <w:pStyle w:val="style0"/>
        <w:spacing w:after="100" w:lineRule="auto" w:line="480"/>
        <w:rPr>
          <w:rFonts w:ascii="Tahoma" w:cs="Tahoma" w:hAnsi="Tahoma"/>
        </w:rPr>
      </w:pPr>
      <w:r>
        <w:rPr>
          <w:rFonts w:ascii="Tahoma" w:cs="Tahoma" w:hAnsi="Tahoma"/>
          <w:noProof/>
        </w:rPr>
        <w:fldChar w:fldCharType="end"/>
      </w: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p>
      <w:pPr>
        <w:pStyle w:val="style0"/>
        <w:spacing w:lineRule="auto" w:line="360"/>
        <w:jc w:val="both"/>
        <w:rPr>
          <w:rFonts w:ascii="Tahoma" w:cs="Tahoma" w:hAnsi="Tahoma"/>
        </w:rPr>
      </w:pPr>
    </w:p>
    <w:bookmarkStart w:id="0" w:name="_Toc116071683"/>
    <w:p>
      <w:pPr>
        <w:pStyle w:val="style1"/>
        <w:spacing w:before="0" w:lineRule="auto" w:line="360"/>
        <w:rPr>
          <w:rFonts w:ascii="Tahoma" w:cs="Tahoma" w:hAnsi="Tahoma"/>
          <w:b/>
          <w:bCs/>
          <w:color w:val="0070c0"/>
          <w:sz w:val="24"/>
          <w:szCs w:val="24"/>
        </w:rPr>
      </w:pPr>
      <w:r>
        <w:rPr>
          <w:rFonts w:ascii="Tahoma" w:cs="Tahoma" w:hAnsi="Tahoma"/>
          <w:b/>
          <w:bCs/>
          <w:color w:val="0070c0"/>
          <w:sz w:val="24"/>
          <w:szCs w:val="24"/>
        </w:rPr>
        <w:t>Chapter 1:</w:t>
      </w:r>
      <w:r>
        <w:rPr>
          <w:rFonts w:ascii="Tahoma" w:cs="Tahoma" w:hAnsi="Tahoma"/>
          <w:b/>
          <w:bCs/>
          <w:color w:val="0070c0"/>
          <w:sz w:val="24"/>
          <w:szCs w:val="24"/>
        </w:rPr>
        <w:t xml:space="preserve"> </w:t>
      </w:r>
      <w:r>
        <w:rPr>
          <w:rFonts w:ascii="Tahoma" w:cs="Tahoma" w:hAnsi="Tahoma"/>
          <w:b/>
          <w:bCs/>
          <w:color w:val="0070c0"/>
          <w:sz w:val="24"/>
          <w:szCs w:val="24"/>
        </w:rPr>
        <w:t>Introduction</w:t>
      </w:r>
      <w:bookmarkEnd w:id="0"/>
    </w:p>
    <w:p>
      <w:pPr>
        <w:pStyle w:val="style0"/>
        <w:spacing w:lineRule="auto" w:line="360"/>
        <w:jc w:val="both"/>
        <w:rPr>
          <w:rFonts w:ascii="Tahoma" w:cs="Tahoma" w:hAnsi="Tahoma"/>
          <w:bCs/>
          <w:sz w:val="24"/>
          <w:szCs w:val="24"/>
        </w:rPr>
      </w:pPr>
      <w:r>
        <w:rPr>
          <w:rFonts w:ascii="Tahoma" w:cs="Tahoma" w:hAnsi="Tahoma"/>
          <w:bCs/>
          <w:sz w:val="24"/>
          <w:szCs w:val="24"/>
        </w:rPr>
        <w:t>Kano</w:t>
      </w:r>
      <w:r>
        <w:rPr>
          <w:rFonts w:ascii="Tahoma" w:cs="Tahoma" w:hAnsi="Tahoma"/>
          <w:bCs/>
          <w:sz w:val="24"/>
          <w:szCs w:val="24"/>
        </w:rPr>
        <w:t xml:space="preserve"> State Debt Sustainability Analysis (</w:t>
      </w:r>
      <w:r>
        <w:rPr>
          <w:rFonts w:ascii="Tahoma" w:cs="Tahoma" w:hAnsi="Tahoma"/>
          <w:bCs/>
          <w:sz w:val="24"/>
          <w:szCs w:val="24"/>
        </w:rPr>
        <w:t>K</w:t>
      </w:r>
      <w:r>
        <w:rPr>
          <w:rFonts w:ascii="Tahoma" w:cs="Tahoma" w:hAnsi="Tahoma"/>
          <w:bCs/>
          <w:sz w:val="24"/>
          <w:szCs w:val="24"/>
        </w:rPr>
        <w:t>S</w:t>
      </w:r>
      <w:r>
        <w:rPr>
          <w:rFonts w:ascii="Tahoma" w:cs="Tahoma" w:hAnsi="Tahoma"/>
          <w:bCs/>
          <w:sz w:val="24"/>
          <w:szCs w:val="24"/>
        </w:rPr>
        <w:t xml:space="preserve"> - DSA) covers the period of 5-year historical from 201</w:t>
      </w:r>
      <w:r>
        <w:rPr>
          <w:rFonts w:ascii="Tahoma" w:cs="Tahoma" w:hAnsi="Tahoma"/>
          <w:bCs/>
          <w:sz w:val="24"/>
          <w:szCs w:val="24"/>
        </w:rPr>
        <w:t>7</w:t>
      </w:r>
      <w:r>
        <w:rPr>
          <w:rFonts w:ascii="Tahoma" w:cs="Tahoma" w:hAnsi="Tahoma"/>
          <w:bCs/>
          <w:sz w:val="24"/>
          <w:szCs w:val="24"/>
        </w:rPr>
        <w:t xml:space="preserve"> to 20</w:t>
      </w:r>
      <w:r>
        <w:rPr>
          <w:rFonts w:ascii="Tahoma" w:cs="Tahoma" w:hAnsi="Tahoma"/>
          <w:bCs/>
          <w:sz w:val="24"/>
          <w:szCs w:val="24"/>
        </w:rPr>
        <w:t>2</w:t>
      </w:r>
      <w:r>
        <w:rPr>
          <w:rFonts w:ascii="Tahoma" w:cs="Tahoma" w:hAnsi="Tahoma"/>
          <w:bCs/>
          <w:sz w:val="24"/>
          <w:szCs w:val="24"/>
        </w:rPr>
        <w:t>1</w:t>
      </w:r>
      <w:r>
        <w:rPr>
          <w:rFonts w:ascii="Tahoma" w:cs="Tahoma" w:hAnsi="Tahoma"/>
          <w:bCs/>
          <w:sz w:val="24"/>
          <w:szCs w:val="24"/>
        </w:rPr>
        <w:t xml:space="preserve"> and 10-year projection 202</w:t>
      </w:r>
      <w:r>
        <w:rPr>
          <w:rFonts w:ascii="Tahoma" w:cs="Tahoma" w:hAnsi="Tahoma"/>
          <w:bCs/>
          <w:sz w:val="24"/>
          <w:szCs w:val="24"/>
        </w:rPr>
        <w:t>2</w:t>
      </w:r>
      <w:r>
        <w:rPr>
          <w:rFonts w:ascii="Tahoma" w:cs="Tahoma" w:hAnsi="Tahoma"/>
          <w:bCs/>
          <w:sz w:val="24"/>
          <w:szCs w:val="24"/>
        </w:rPr>
        <w:t>-20</w:t>
      </w:r>
      <w:r>
        <w:rPr>
          <w:rFonts w:ascii="Tahoma" w:cs="Tahoma" w:hAnsi="Tahoma"/>
          <w:bCs/>
          <w:sz w:val="24"/>
          <w:szCs w:val="24"/>
        </w:rPr>
        <w:t>3</w:t>
      </w:r>
      <w:r>
        <w:rPr>
          <w:rFonts w:ascii="Tahoma" w:cs="Tahoma" w:hAnsi="Tahoma"/>
          <w:bCs/>
          <w:sz w:val="24"/>
          <w:szCs w:val="24"/>
        </w:rPr>
        <w:t>1</w:t>
      </w:r>
      <w:r>
        <w:rPr>
          <w:rFonts w:ascii="Tahoma" w:cs="Tahoma" w:hAnsi="Tahoma"/>
          <w:bCs/>
          <w:sz w:val="24"/>
          <w:szCs w:val="24"/>
        </w:rPr>
        <w:t>, under various</w:t>
      </w:r>
      <w:r>
        <w:rPr>
          <w:rFonts w:ascii="Tahoma" w:cs="Tahoma" w:hAnsi="Tahoma"/>
          <w:bCs/>
          <w:sz w:val="24"/>
          <w:szCs w:val="24"/>
        </w:rPr>
        <w:t xml:space="preserve"> macroeconomic </w:t>
      </w:r>
      <w:r>
        <w:rPr>
          <w:rFonts w:ascii="Tahoma" w:cs="Tahoma" w:hAnsi="Tahoma"/>
          <w:bCs/>
          <w:sz w:val="24"/>
          <w:szCs w:val="24"/>
        </w:rPr>
        <w:t>assumptions and s</w:t>
      </w:r>
      <w:r>
        <w:rPr>
          <w:rFonts w:ascii="Tahoma" w:cs="Tahoma" w:hAnsi="Tahoma"/>
          <w:bCs/>
          <w:sz w:val="24"/>
          <w:szCs w:val="24"/>
        </w:rPr>
        <w:t>hock scenarios. To ensure that State debt stock remains sustainable in the medium to long-term, the State’s macroeconomic framework</w:t>
      </w:r>
      <w:r>
        <w:rPr>
          <w:rFonts w:ascii="Tahoma" w:cs="Tahoma" w:hAnsi="Tahoma"/>
          <w:bCs/>
          <w:sz w:val="24"/>
          <w:szCs w:val="24"/>
        </w:rPr>
        <w:t xml:space="preserve"> is used </w:t>
      </w:r>
      <w:r>
        <w:rPr>
          <w:rFonts w:ascii="Tahoma" w:cs="Tahoma" w:hAnsi="Tahoma"/>
          <w:bCs/>
          <w:sz w:val="24"/>
          <w:szCs w:val="24"/>
        </w:rPr>
        <w:t>to assess the current and future debt levels, as well as its ability to meet debt service obligations as and when due, and without compromising growth and development.</w:t>
      </w:r>
    </w:p>
    <w:p>
      <w:pPr>
        <w:pStyle w:val="style0"/>
        <w:spacing w:lineRule="auto" w:line="360"/>
        <w:jc w:val="both"/>
        <w:rPr>
          <w:rFonts w:ascii="Tahoma" w:cs="Tahoma" w:hAnsi="Tahoma"/>
          <w:sz w:val="24"/>
          <w:szCs w:val="24"/>
        </w:rPr>
      </w:pPr>
      <w:r>
        <w:rPr>
          <w:rFonts w:ascii="Tahoma" w:cs="Tahoma" w:hAnsi="Tahoma"/>
          <w:sz w:val="24"/>
          <w:szCs w:val="24"/>
        </w:rPr>
        <w:t xml:space="preserve">The </w:t>
      </w:r>
      <w:r>
        <w:rPr>
          <w:rFonts w:ascii="Tahoma" w:cs="Tahoma" w:hAnsi="Tahoma"/>
          <w:sz w:val="24"/>
          <w:szCs w:val="24"/>
        </w:rPr>
        <w:t>Kano</w:t>
      </w:r>
      <w:r>
        <w:rPr>
          <w:rFonts w:ascii="Tahoma" w:cs="Tahoma" w:hAnsi="Tahoma"/>
          <w:sz w:val="24"/>
          <w:szCs w:val="24"/>
        </w:rPr>
        <w:t xml:space="preserve"> </w:t>
      </w:r>
      <w:r>
        <w:rPr>
          <w:rFonts w:ascii="Tahoma" w:cs="Tahoma" w:hAnsi="Tahoma"/>
          <w:sz w:val="24"/>
          <w:szCs w:val="24"/>
        </w:rPr>
        <w:t>S</w:t>
      </w:r>
      <w:r>
        <w:rPr>
          <w:rFonts w:ascii="Tahoma" w:cs="Tahoma" w:hAnsi="Tahoma"/>
          <w:sz w:val="24"/>
          <w:szCs w:val="24"/>
        </w:rPr>
        <w:t>tate</w:t>
      </w:r>
      <w:r>
        <w:rPr>
          <w:rFonts w:ascii="Tahoma" w:cs="Tahoma" w:hAnsi="Tahoma"/>
          <w:sz w:val="24"/>
          <w:szCs w:val="24"/>
        </w:rPr>
        <w:t xml:space="preserve"> DSA</w:t>
      </w:r>
      <w:r>
        <w:rPr>
          <w:rFonts w:ascii="Tahoma" w:cs="Tahoma" w:hAnsi="Tahoma"/>
          <w:sz w:val="24"/>
          <w:szCs w:val="24"/>
        </w:rPr>
        <w:t>-DMS</w:t>
      </w:r>
      <w:r>
        <w:rPr>
          <w:rFonts w:ascii="Tahoma" w:cs="Tahoma" w:hAnsi="Tahoma"/>
          <w:sz w:val="24"/>
          <w:szCs w:val="24"/>
        </w:rPr>
        <w:t xml:space="preserve"> forecast for primary balance that comprises the difference between revenue and expenditure, plus the existing debt service (interest payment and principal repayments). The revenue </w:t>
      </w:r>
      <w:r>
        <w:rPr>
          <w:rFonts w:ascii="Tahoma" w:cs="Tahoma" w:hAnsi="Tahoma"/>
          <w:sz w:val="24"/>
          <w:szCs w:val="24"/>
        </w:rPr>
        <w:t>was</w:t>
      </w:r>
      <w:r>
        <w:rPr>
          <w:rFonts w:ascii="Tahoma" w:cs="Tahoma" w:hAnsi="Tahoma"/>
          <w:sz w:val="24"/>
          <w:szCs w:val="24"/>
        </w:rPr>
        <w:t xml:space="preserve"> based on the harmonized revenue law of the state government, which provided for capital gains tax, and other property tax to expand the tax base to maximally increase the state internally generated revenue that are considered achievable. Also, the state forecasts increased recurrent and capital expenditures with expected growth in the National economy with cascading effects in the State’s economy leading to increase in overall economic activities in the private sector, as well as job creation in the public sector. </w:t>
      </w:r>
    </w:p>
    <w:p>
      <w:pPr>
        <w:pStyle w:val="style0"/>
        <w:spacing w:lineRule="auto" w:line="360"/>
        <w:jc w:val="both"/>
        <w:rPr>
          <w:rFonts w:ascii="Tahoma" w:cs="Tahoma" w:hAnsi="Tahoma"/>
          <w:bCs/>
          <w:sz w:val="24"/>
          <w:szCs w:val="24"/>
        </w:rPr>
      </w:pPr>
      <w:r>
        <w:rPr>
          <w:rFonts w:ascii="Tahoma" w:cs="Tahoma" w:hAnsi="Tahoma"/>
          <w:bCs/>
          <w:sz w:val="24"/>
          <w:szCs w:val="24"/>
        </w:rPr>
        <w:t>The baseline forecast is for growth to slow from 6.1 percent last year to 3.2 percent in 2022, 0.4 percentage point lower than in the April 2022 World Economic Outlook. Lower growth earlier this year, reduced household purchasing power, and tighter monetary policy drove a downward revision of 1.4 percentage points in the United States. In China, further lockdowns and the deepening real estate crisis have led growth to be revised down by 1.1 percentage points, with major global spillovers. And in Europe, significant downgrades reflect spillovers from the war in Ukraine and tighter monetary policy. Global inflation has been revised up due to food and energy prices as well as lingering supply-demand imbalances and is anticipated to reach 6.6 percent in advanced economies and 9.5 percent in emerging market and developing economies this year—upward revisions of 0.9 and 0.8 percentage point, respectively. In 2023, disinflationary monetary policy is expected to bite, with global output growing by just 2.9 percent.</w:t>
      </w:r>
    </w:p>
    <w:p>
      <w:pPr>
        <w:pStyle w:val="style0"/>
        <w:spacing w:lineRule="auto" w:line="360"/>
        <w:jc w:val="both"/>
        <w:rPr>
          <w:rFonts w:ascii="Tahoma" w:cs="Tahoma" w:hAnsi="Tahoma"/>
          <w:bCs/>
          <w:sz w:val="24"/>
          <w:szCs w:val="24"/>
        </w:rPr>
      </w:pPr>
      <w:r>
        <w:rPr>
          <w:rFonts w:ascii="Tahoma" w:cs="Tahoma" w:hAnsi="Tahoma"/>
          <w:bCs/>
          <w:sz w:val="24"/>
          <w:szCs w:val="24"/>
        </w:rPr>
        <w:t xml:space="preserve">The risks to the outlook are overwhelmingly tilted to the downside. The war in Ukraine could lead to a sudden stop of European gas imports from Russia; inflation could be harder to bring down than anticipated either if labor markets are tighter than expected or inflation expectations unanchored; tighter global financial conditions could induce debt distress in emerging market and developing economies; renewed COVID-19 outbreaks </w:t>
      </w:r>
      <w:r>
        <w:rPr>
          <w:rFonts w:ascii="Tahoma" w:cs="Tahoma" w:hAnsi="Tahoma"/>
          <w:bCs/>
          <w:sz w:val="24"/>
          <w:szCs w:val="24"/>
        </w:rPr>
        <w:t>and lockdowns as well as a further escalation of the property sector crisis might further suppress Chinese growth; and geopolitical fragmentation could impede global trade and cooperation. A plausible alternative scenario in which risks materialize, inflation rises further, and global growth declines to about 2.6 percent and 2.0 percent in 2022 and 2023, respectively, would put growth in the bottom 10 percent of outcomes since 1970.</w:t>
      </w:r>
    </w:p>
    <w:p>
      <w:pPr>
        <w:pStyle w:val="style0"/>
        <w:spacing w:lineRule="auto" w:line="360"/>
        <w:jc w:val="both"/>
        <w:rPr>
          <w:rFonts w:ascii="Tahoma" w:cs="Tahoma" w:hAnsi="Tahoma"/>
          <w:bCs/>
          <w:sz w:val="24"/>
          <w:szCs w:val="24"/>
        </w:rPr>
      </w:pPr>
      <w:r>
        <w:rPr>
          <w:rFonts w:ascii="Tahoma" w:cs="Tahoma" w:hAnsi="Tahoma"/>
          <w:bCs/>
          <w:sz w:val="24"/>
          <w:szCs w:val="24"/>
        </w:rPr>
        <w:t>Nigeria’s economy grew by 3.6% in 2021 from a 1.8% contraction in 2020, underpinned on the supply side by 4.4% expansion in the non-oil sector against 8.3% contraction in the oil sector; non-oil growth was driven by agriculture (2.1%) and services (5.6%). On the demand side, public and private consumption were contributors to GDP growth. Per capita income grew by 1.0% in 2021. The fiscal deficit narrowed to 4.8% of GDP in 2021 from 5.4% in 2020, due to a modest uptick in revenues, and was financed by borrowing. Public debt stood at $95.8 billion in 2021, or about 22.5% of GDP.</w:t>
      </w:r>
    </w:p>
    <w:p>
      <w:pPr>
        <w:pStyle w:val="style0"/>
        <w:spacing w:lineRule="auto" w:line="360"/>
        <w:jc w:val="both"/>
        <w:rPr>
          <w:rFonts w:ascii="Tahoma" w:cs="Tahoma" w:hAnsi="Tahoma"/>
          <w:bCs/>
          <w:sz w:val="24"/>
          <w:szCs w:val="24"/>
        </w:rPr>
      </w:pPr>
      <w:r>
        <w:rPr>
          <w:rFonts w:ascii="Tahoma" w:cs="Tahoma" w:hAnsi="Tahoma"/>
          <w:bCs/>
          <w:sz w:val="24"/>
          <w:szCs w:val="24"/>
        </w:rPr>
        <w:t>Annual average inflation stood at 17.0% in 2021 against 13.2% the previous year and above the central bank’s 6–9% target. Inflation was fueled by food price rises at the start of the year and exchange rate pass-through. The central bank kept the policy rate unchanged at 11.5% in 2021 to support economic recovery. The current account deficit narrowed to 2.9% of GDP in 2021 from 4% the preceding year, supported by recovery in oil receipts. Improved oil exports and disbursement of the SDR allocation of $3.4 billion (0.8% of GDP), pending decision on its use, helped to boost gross reserves to $40.1 billion in 2021. The ratio of NPLs to gross loans was 4.9% in December 2021 (regulatory requirement 5%), while the capital-adequacy ratio was 14.5% (regulatory benchmark 10%). Poverty and unemployment remained high, broadly unchanged from 40% and 33.3%, respectively, in 2020</w:t>
      </w:r>
      <w:r>
        <w:rPr>
          <w:rFonts w:ascii="Tahoma" w:cs="Tahoma" w:hAnsi="Tahoma"/>
          <w:sz w:val="24"/>
          <w:szCs w:val="24"/>
        </w:rPr>
        <w:t>.</w:t>
      </w:r>
    </w:p>
    <w:p>
      <w:pPr>
        <w:pStyle w:val="style0"/>
        <w:spacing w:lineRule="auto" w:line="360"/>
        <w:jc w:val="both"/>
        <w:rPr>
          <w:rFonts w:ascii="Tahoma" w:cs="Tahoma" w:hAnsi="Tahoma"/>
          <w:sz w:val="24"/>
          <w:szCs w:val="24"/>
        </w:rPr>
      </w:pPr>
      <w:r>
        <w:rPr>
          <w:rFonts w:ascii="Tahoma" w:cs="Tahoma" w:hAnsi="Tahoma"/>
          <w:bCs/>
          <w:sz w:val="24"/>
          <w:szCs w:val="24"/>
        </w:rPr>
        <w:t xml:space="preserve">In its effort to cushion the effect dwindling revenue, </w:t>
      </w:r>
      <w:r>
        <w:rPr>
          <w:rFonts w:ascii="Tahoma" w:cs="Tahoma" w:hAnsi="Tahoma"/>
          <w:bCs/>
          <w:sz w:val="24"/>
          <w:szCs w:val="24"/>
        </w:rPr>
        <w:t>Kano</w:t>
      </w:r>
      <w:r>
        <w:rPr>
          <w:rFonts w:ascii="Tahoma" w:cs="Tahoma" w:hAnsi="Tahoma"/>
          <w:bCs/>
          <w:sz w:val="24"/>
          <w:szCs w:val="24"/>
        </w:rPr>
        <w:t xml:space="preserve"> State </w:t>
      </w:r>
      <w:r>
        <w:rPr>
          <w:rFonts w:ascii="Tahoma" w:cs="Tahoma" w:hAnsi="Tahoma"/>
          <w:bCs/>
          <w:sz w:val="24"/>
          <w:szCs w:val="24"/>
        </w:rPr>
        <w:t xml:space="preserve">Government has put in place a harmonized revenue law to expand the tax net and boost Internally Generated Revenue. The increase in Internally Generated Revenue is expected to positively impact on the debt obligations </w:t>
      </w:r>
      <w:r>
        <w:rPr>
          <w:rFonts w:ascii="Tahoma" w:cs="Tahoma" w:hAnsi="Tahoma"/>
          <w:bCs/>
          <w:sz w:val="24"/>
          <w:szCs w:val="24"/>
        </w:rPr>
        <w:t xml:space="preserve">and </w:t>
      </w:r>
      <w:r>
        <w:rPr>
          <w:rFonts w:ascii="Tahoma" w:cs="Tahoma" w:hAnsi="Tahoma"/>
          <w:bCs/>
          <w:sz w:val="24"/>
          <w:szCs w:val="24"/>
        </w:rPr>
        <w:t xml:space="preserve">economic development of the State. The State plans to augment the State budget through </w:t>
      </w:r>
      <w:r>
        <w:rPr>
          <w:rFonts w:ascii="Tahoma" w:cs="Tahoma" w:hAnsi="Tahoma"/>
          <w:bCs/>
          <w:sz w:val="24"/>
          <w:szCs w:val="24"/>
        </w:rPr>
        <w:t xml:space="preserve">borrowings from domestic </w:t>
      </w:r>
      <w:r>
        <w:rPr>
          <w:rFonts w:ascii="Tahoma" w:cs="Tahoma" w:hAnsi="Tahoma"/>
          <w:bCs/>
          <w:sz w:val="24"/>
          <w:szCs w:val="24"/>
        </w:rPr>
        <w:t xml:space="preserve">and external loans. </w:t>
      </w:r>
      <w:r>
        <w:rPr>
          <w:rFonts w:ascii="Tahoma" w:cs="Tahoma" w:hAnsi="Tahoma"/>
          <w:sz w:val="24"/>
          <w:szCs w:val="24"/>
        </w:rPr>
        <w:t>Con</w:t>
      </w:r>
      <w:r>
        <w:rPr>
          <w:rFonts w:ascii="Tahoma" w:cs="Tahoma" w:hAnsi="Tahoma"/>
          <w:sz w:val="24"/>
          <w:szCs w:val="24"/>
        </w:rPr>
        <w:t>sequently, the MTDS had to be adjusted</w:t>
      </w:r>
      <w:r>
        <w:rPr>
          <w:rFonts w:ascii="Tahoma" w:cs="Tahoma" w:hAnsi="Tahoma"/>
          <w:sz w:val="24"/>
          <w:szCs w:val="24"/>
        </w:rPr>
        <w:t xml:space="preserve"> to ensure the financing gap of government is met.</w:t>
      </w: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bookmarkStart w:id="1" w:name="_Toc116071684"/>
    <w:p>
      <w:pPr>
        <w:pStyle w:val="style1"/>
        <w:spacing w:before="0" w:lineRule="auto" w:line="360"/>
        <w:rPr>
          <w:rFonts w:ascii="Tahoma" w:cs="Tahoma" w:hAnsi="Tahoma"/>
          <w:b/>
          <w:bCs/>
          <w:color w:val="0070c0"/>
          <w:sz w:val="24"/>
          <w:szCs w:val="24"/>
        </w:rPr>
      </w:pPr>
      <w:r>
        <w:rPr>
          <w:rFonts w:ascii="Tahoma" w:cs="Tahoma" w:hAnsi="Tahoma"/>
          <w:b/>
          <w:bCs/>
          <w:color w:val="0070c0"/>
          <w:sz w:val="24"/>
          <w:szCs w:val="24"/>
        </w:rPr>
        <w:t>Chapter 2:</w:t>
      </w:r>
      <w:r>
        <w:rPr>
          <w:rFonts w:ascii="Tahoma" w:cs="Tahoma" w:hAnsi="Tahoma"/>
          <w:b/>
          <w:bCs/>
          <w:color w:val="0070c0"/>
          <w:sz w:val="24"/>
          <w:szCs w:val="24"/>
        </w:rPr>
        <w:t xml:space="preserve"> </w:t>
      </w:r>
      <w:r>
        <w:rPr>
          <w:rFonts w:ascii="Tahoma" w:cs="Tahoma" w:hAnsi="Tahoma"/>
          <w:b/>
          <w:bCs/>
          <w:color w:val="0070c0"/>
          <w:sz w:val="24"/>
          <w:szCs w:val="24"/>
        </w:rPr>
        <w:t>The State Fiscal and Debt Framework</w:t>
      </w:r>
      <w:bookmarkEnd w:id="1"/>
    </w:p>
    <w:p>
      <w:pPr>
        <w:pStyle w:val="style0"/>
        <w:spacing w:lineRule="auto" w:line="360"/>
        <w:jc w:val="both"/>
        <w:rPr>
          <w:rFonts w:ascii="Tahoma" w:cs="Tahoma" w:hAnsi="Tahoma"/>
          <w:bCs/>
          <w:sz w:val="24"/>
          <w:szCs w:val="24"/>
        </w:rPr>
      </w:pPr>
      <w:r>
        <w:rPr>
          <w:rFonts w:ascii="Tahoma" w:cs="Tahoma" w:hAnsi="Tahoma"/>
          <w:bCs/>
          <w:sz w:val="24"/>
          <w:szCs w:val="24"/>
        </w:rPr>
        <w:t xml:space="preserve">The 2021 Budget is named “Budget of </w:t>
      </w:r>
      <w:r>
        <w:rPr>
          <w:rFonts w:ascii="Tahoma" w:cs="Tahoma" w:hAnsi="Tahoma"/>
          <w:bCs/>
          <w:sz w:val="24"/>
          <w:szCs w:val="24"/>
        </w:rPr>
        <w:t xml:space="preserve">Economic </w:t>
      </w:r>
      <w:r>
        <w:rPr>
          <w:rFonts w:ascii="Tahoma" w:cs="Tahoma" w:hAnsi="Tahoma"/>
          <w:bCs/>
          <w:sz w:val="24"/>
          <w:szCs w:val="24"/>
        </w:rPr>
        <w:t>Rejuvenation</w:t>
      </w:r>
      <w:r>
        <w:rPr>
          <w:rFonts w:ascii="Tahoma" w:cs="Tahoma" w:hAnsi="Tahoma"/>
          <w:bCs/>
          <w:sz w:val="24"/>
          <w:szCs w:val="24"/>
        </w:rPr>
        <w:t xml:space="preserve">” which </w:t>
      </w:r>
      <w:r>
        <w:rPr>
          <w:rFonts w:ascii="Tahoma" w:cs="Tahoma" w:hAnsi="Tahoma"/>
          <w:sz w:val="24"/>
          <w:szCs w:val="24"/>
        </w:rPr>
        <w:t xml:space="preserve">is expected to sustain our Agricultural drive, Youth empowerment and provide an enabling environment for SMEs to grow and pave way for industrial development of the State. </w:t>
      </w:r>
      <w:r>
        <w:rPr>
          <w:rFonts w:ascii="Tahoma" w:cs="Tahoma" w:hAnsi="Tahoma"/>
          <w:bCs/>
          <w:sz w:val="24"/>
          <w:szCs w:val="24"/>
        </w:rPr>
        <w:t>In line</w:t>
      </w:r>
      <w:r>
        <w:rPr>
          <w:rFonts w:ascii="Tahoma" w:cs="Tahoma" w:hAnsi="Tahoma"/>
          <w:bCs/>
          <w:sz w:val="24"/>
          <w:szCs w:val="24"/>
        </w:rPr>
        <w:t xml:space="preserve"> with the provision of the overarching State development policy document (i.e., the State Comprehensive Development Framework), </w:t>
      </w:r>
      <w:r>
        <w:rPr>
          <w:rFonts w:ascii="Tahoma" w:cs="Tahoma" w:hAnsi="Tahoma"/>
          <w:bCs/>
          <w:sz w:val="24"/>
          <w:szCs w:val="24"/>
        </w:rPr>
        <w:t>Focus and Direction of the 2022 Budget</w:t>
      </w:r>
      <w:r>
        <w:rPr>
          <w:rFonts w:ascii="Tahoma" w:cs="Tahoma" w:hAnsi="Tahoma"/>
          <w:bCs/>
          <w:sz w:val="24"/>
          <w:szCs w:val="24"/>
        </w:rPr>
        <w:t>:</w:t>
      </w:r>
    </w:p>
    <w:p>
      <w:pPr>
        <w:pStyle w:val="style0"/>
        <w:spacing w:after="0" w:lineRule="auto" w:line="360"/>
        <w:rPr>
          <w:rFonts w:ascii="Tahoma" w:cs="Tahoma" w:eastAsia="Calibri" w:hAnsi="Tahoma"/>
          <w:b/>
          <w:sz w:val="24"/>
          <w:szCs w:val="24"/>
        </w:rPr>
      </w:pPr>
      <w:r>
        <w:rPr>
          <w:rFonts w:ascii="Tahoma" w:cs="Tahoma" w:eastAsia="Calibri" w:hAnsi="Tahoma"/>
          <w:b/>
          <w:sz w:val="24"/>
          <w:szCs w:val="24"/>
        </w:rPr>
        <w:t>Policy Statements</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Continuation of Free and compulsory Education in Primary &amp; Secondary</w:t>
      </w:r>
      <w:r>
        <w:rPr>
          <w:rFonts w:ascii="Tahoma" w:cs="Tahoma" w:hAnsi="Tahoma"/>
          <w:bCs/>
          <w:sz w:val="24"/>
          <w:szCs w:val="24"/>
        </w:rPr>
        <w:t xml:space="preserve"> </w:t>
      </w:r>
      <w:r>
        <w:rPr>
          <w:rFonts w:ascii="Tahoma" w:cs="Tahoma" w:hAnsi="Tahoma"/>
          <w:bCs/>
          <w:sz w:val="24"/>
          <w:szCs w:val="24"/>
        </w:rPr>
        <w:t>school levels.</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Sustenance of policy development for the created four (4) No. additional Emirate Council.</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Security of lives and property of citizenry.</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Agriculture and Food Security.</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Fight against corruption.</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Improving Health Care Service delivery.</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Encourage Public Private Partnership Arrangement.</w:t>
      </w:r>
    </w:p>
    <w:p>
      <w:pPr>
        <w:pStyle w:val="style179"/>
        <w:numPr>
          <w:ilvl w:val="0"/>
          <w:numId w:val="1"/>
        </w:numPr>
        <w:spacing w:after="0" w:lineRule="auto" w:line="360"/>
        <w:ind w:left="426" w:hanging="426"/>
        <w:rPr>
          <w:rFonts w:ascii="Tahoma" w:cs="Tahoma" w:hAnsi="Tahoma"/>
          <w:bCs/>
          <w:sz w:val="24"/>
          <w:szCs w:val="24"/>
        </w:rPr>
      </w:pPr>
      <w:r>
        <w:rPr>
          <w:rFonts w:ascii="Tahoma" w:cs="Tahoma" w:hAnsi="Tahoma"/>
          <w:bCs/>
          <w:sz w:val="24"/>
          <w:szCs w:val="24"/>
        </w:rPr>
        <w:t>Empowerment project Program.</w:t>
      </w:r>
    </w:p>
    <w:p>
      <w:pPr>
        <w:pStyle w:val="style0"/>
        <w:spacing w:after="0" w:lineRule="auto" w:line="360"/>
        <w:rPr>
          <w:rFonts w:ascii="Tahoma" w:cs="Tahoma" w:eastAsia="Calibri" w:hAnsi="Tahoma"/>
          <w:b/>
          <w:sz w:val="24"/>
          <w:szCs w:val="24"/>
        </w:rPr>
      </w:pPr>
      <w:r>
        <w:rPr>
          <w:rFonts w:ascii="Tahoma" w:cs="Tahoma" w:eastAsia="Calibri" w:hAnsi="Tahoma"/>
          <w:b/>
          <w:sz w:val="24"/>
          <w:szCs w:val="24"/>
        </w:rPr>
        <w:t xml:space="preserve">Objective </w:t>
      </w:r>
    </w:p>
    <w:p>
      <w:pPr>
        <w:pStyle w:val="style179"/>
        <w:numPr>
          <w:ilvl w:val="0"/>
          <w:numId w:val="16"/>
        </w:numPr>
        <w:spacing w:after="0" w:lineRule="auto" w:line="360"/>
        <w:ind w:left="426" w:hanging="426"/>
        <w:rPr>
          <w:rFonts w:ascii="Tahoma" w:cs="Tahoma" w:hAnsi="Tahoma"/>
          <w:bCs/>
          <w:sz w:val="24"/>
          <w:szCs w:val="24"/>
        </w:rPr>
      </w:pPr>
      <w:r>
        <w:rPr>
          <w:rFonts w:ascii="Tahoma" w:cs="Tahoma" w:hAnsi="Tahoma"/>
          <w:bCs/>
          <w:sz w:val="24"/>
          <w:szCs w:val="24"/>
        </w:rPr>
        <w:t>Efficient and Effective Public spending through Public Financial Management Law (PFM) 2020</w:t>
      </w:r>
    </w:p>
    <w:p>
      <w:pPr>
        <w:pStyle w:val="style179"/>
        <w:numPr>
          <w:ilvl w:val="0"/>
          <w:numId w:val="16"/>
        </w:numPr>
        <w:spacing w:lineRule="auto" w:line="360"/>
        <w:ind w:left="426" w:hanging="426"/>
        <w:rPr>
          <w:rFonts w:ascii="Tahoma" w:cs="Tahoma" w:hAnsi="Tahoma"/>
          <w:b/>
          <w:bCs/>
          <w:sz w:val="24"/>
          <w:szCs w:val="24"/>
        </w:rPr>
      </w:pPr>
      <w:r>
        <w:rPr>
          <w:rFonts w:ascii="Tahoma" w:cs="Tahoma" w:hAnsi="Tahoma"/>
          <w:bCs/>
          <w:sz w:val="24"/>
          <w:szCs w:val="24"/>
        </w:rPr>
        <w:t>To continue Synergy and collaboration with various Stakeholders</w:t>
      </w:r>
    </w:p>
    <w:p>
      <w:pPr>
        <w:pStyle w:val="style0"/>
        <w:spacing w:after="0" w:lineRule="auto" w:line="360"/>
        <w:rPr>
          <w:rFonts w:ascii="Tahoma" w:cs="Tahoma" w:hAnsi="Tahoma"/>
          <w:b/>
          <w:bCs/>
          <w:sz w:val="24"/>
          <w:szCs w:val="24"/>
        </w:rPr>
      </w:pPr>
      <w:r>
        <w:rPr>
          <w:rFonts w:ascii="Tahoma" w:cs="Tahoma" w:hAnsi="Tahoma"/>
          <w:b/>
          <w:bCs/>
          <w:sz w:val="24"/>
          <w:szCs w:val="24"/>
        </w:rPr>
        <w:t xml:space="preserve">2.1    </w:t>
      </w:r>
      <w:r>
        <w:rPr>
          <w:rFonts w:ascii="Tahoma" w:cs="Tahoma" w:hAnsi="Tahoma"/>
          <w:b/>
          <w:bCs/>
          <w:sz w:val="24"/>
          <w:szCs w:val="24"/>
        </w:rPr>
        <w:t>Medium-Term Budget Forecast</w:t>
      </w:r>
    </w:p>
    <w:p>
      <w:pPr>
        <w:pStyle w:val="style0"/>
        <w:spacing w:lineRule="auto" w:line="360"/>
        <w:jc w:val="both"/>
        <w:rPr>
          <w:rFonts w:ascii="Tahoma" w:cs="Tahoma" w:hAnsi="Tahoma"/>
          <w:sz w:val="24"/>
          <w:szCs w:val="24"/>
        </w:rPr>
      </w:pPr>
      <w:r>
        <w:rPr>
          <w:rFonts w:ascii="Tahoma" w:cs="Tahoma" w:hAnsi="Tahoma"/>
          <w:sz w:val="24"/>
          <w:szCs w:val="24"/>
        </w:rPr>
        <w:t>The Economic and Fiscal Update (EFU) provides economic and fiscal analysis which forms</w:t>
      </w:r>
      <w:r>
        <w:rPr>
          <w:rFonts w:ascii="Tahoma" w:cs="Tahoma" w:hAnsi="Tahoma"/>
          <w:sz w:val="24"/>
          <w:szCs w:val="24"/>
        </w:rPr>
        <w:t xml:space="preserve"> </w:t>
      </w:r>
      <w:r>
        <w:rPr>
          <w:rFonts w:ascii="Tahoma" w:cs="Tahoma" w:hAnsi="Tahoma"/>
          <w:sz w:val="24"/>
          <w:szCs w:val="24"/>
        </w:rPr>
        <w:t xml:space="preserve">the basis for budget planning process. It is aimed primarily at policy makers and decision takers in Kano State Government. The EFU also provides an assessment of budget performance (both historical and current) and identifies significant factors affecting implementation. </w:t>
      </w:r>
    </w:p>
    <w:p>
      <w:pPr>
        <w:pStyle w:val="style0"/>
        <w:spacing w:lineRule="auto" w:line="360"/>
        <w:jc w:val="both"/>
        <w:rPr>
          <w:rFonts w:ascii="Tahoma" w:cs="Tahoma" w:hAnsi="Tahoma"/>
          <w:sz w:val="24"/>
          <w:szCs w:val="24"/>
        </w:rPr>
      </w:pPr>
      <w:r>
        <w:rPr>
          <w:rFonts w:ascii="Tahoma" w:cs="Tahoma" w:hAnsi="Tahoma"/>
          <w:sz w:val="24"/>
          <w:szCs w:val="24"/>
        </w:rPr>
        <w:t xml:space="preserve">On the other hand, Fiscal Strategy Paper (FSP) is a key element in Medium Term Budget Framework (MTBF) and annual budget process, and as such, it determines the resources available to fund Government projects and </w:t>
      </w:r>
      <w:r>
        <w:rPr>
          <w:rFonts w:ascii="Tahoma" w:cs="Tahoma" w:hAnsi="Tahoma"/>
          <w:sz w:val="24"/>
          <w:szCs w:val="24"/>
        </w:rPr>
        <w:t>programmes</w:t>
      </w:r>
      <w:r>
        <w:rPr>
          <w:rFonts w:ascii="Tahoma" w:cs="Tahoma" w:hAnsi="Tahoma"/>
          <w:sz w:val="24"/>
          <w:szCs w:val="24"/>
        </w:rPr>
        <w:t xml:space="preserve"> from a fiscally sustainable perspective. </w:t>
      </w:r>
    </w:p>
    <w:p>
      <w:pPr>
        <w:pStyle w:val="style0"/>
        <w:spacing w:lineRule="auto" w:line="360"/>
        <w:jc w:val="both"/>
        <w:rPr>
          <w:rFonts w:ascii="Tahoma" w:cs="Tahoma" w:hAnsi="Tahoma"/>
          <w:sz w:val="24"/>
          <w:szCs w:val="24"/>
        </w:rPr>
      </w:pPr>
      <w:r>
        <w:rPr>
          <w:rFonts w:ascii="Tahoma" w:cs="Tahoma" w:hAnsi="Tahoma"/>
          <w:sz w:val="24"/>
          <w:szCs w:val="24"/>
        </w:rPr>
        <w:t>Kano State Government decided to adopt the preparation of the EFU-FSP for the first</w:t>
      </w:r>
      <w:r>
        <w:rPr>
          <w:rFonts w:ascii="Tahoma" w:cs="Tahoma" w:hAnsi="Tahoma"/>
          <w:sz w:val="24"/>
          <w:szCs w:val="24"/>
        </w:rPr>
        <w:t xml:space="preserve"> </w:t>
      </w:r>
      <w:r>
        <w:rPr>
          <w:rFonts w:ascii="Tahoma" w:cs="Tahoma" w:hAnsi="Tahoma"/>
          <w:sz w:val="24"/>
          <w:szCs w:val="24"/>
        </w:rPr>
        <w:t>time in 2013 as part of the movement toward a comprehensive Medium Term Expenditure Framework (MTEF) process. This is the Eight rolling iteration of the document and covers the period 202</w:t>
      </w:r>
      <w:r>
        <w:rPr>
          <w:rFonts w:ascii="Tahoma" w:cs="Tahoma" w:hAnsi="Tahoma"/>
          <w:sz w:val="24"/>
          <w:szCs w:val="24"/>
        </w:rPr>
        <w:t>2</w:t>
      </w:r>
      <w:r>
        <w:rPr>
          <w:rFonts w:ascii="Tahoma" w:cs="Tahoma" w:hAnsi="Tahoma"/>
          <w:sz w:val="24"/>
          <w:szCs w:val="24"/>
        </w:rPr>
        <w:t>-202</w:t>
      </w:r>
      <w:r>
        <w:rPr>
          <w:rFonts w:ascii="Tahoma" w:cs="Tahoma" w:hAnsi="Tahoma"/>
          <w:sz w:val="24"/>
          <w:szCs w:val="24"/>
        </w:rPr>
        <w:t>4</w:t>
      </w:r>
      <w:r>
        <w:rPr>
          <w:rFonts w:ascii="Tahoma" w:cs="Tahoma" w:hAnsi="Tahoma"/>
          <w:sz w:val="24"/>
          <w:szCs w:val="24"/>
        </w:rPr>
        <w:t>.</w:t>
      </w:r>
    </w:p>
    <w:p>
      <w:pPr>
        <w:pStyle w:val="style0"/>
        <w:spacing w:after="0" w:lineRule="auto" w:line="360"/>
        <w:jc w:val="both"/>
        <w:rPr>
          <w:rFonts w:ascii="Tahoma" w:cs="Tahoma" w:hAnsi="Tahoma"/>
          <w:b/>
          <w:bCs/>
          <w:sz w:val="24"/>
          <w:szCs w:val="24"/>
        </w:rPr>
      </w:pPr>
      <w:r>
        <w:rPr>
          <w:rFonts w:ascii="Tahoma" w:cs="Tahoma" w:hAnsi="Tahoma"/>
          <w:b/>
          <w:bCs/>
          <w:sz w:val="24"/>
          <w:szCs w:val="24"/>
        </w:rPr>
        <w:t>Objectives</w:t>
      </w:r>
    </w:p>
    <w:p>
      <w:pPr>
        <w:pStyle w:val="style0"/>
        <w:spacing w:after="0" w:lineRule="auto" w:line="360"/>
        <w:jc w:val="both"/>
        <w:rPr>
          <w:rFonts w:ascii="Tahoma" w:cs="Tahoma" w:hAnsi="Tahoma"/>
          <w:sz w:val="24"/>
          <w:szCs w:val="24"/>
        </w:rPr>
      </w:pPr>
      <w:r>
        <w:rPr>
          <w:rFonts w:ascii="Tahoma" w:cs="Tahoma" w:hAnsi="Tahoma"/>
          <w:sz w:val="24"/>
          <w:szCs w:val="24"/>
        </w:rPr>
        <w:t xml:space="preserve">The EFU-FSP and BPS documents strengthen </w:t>
      </w:r>
      <w:r>
        <w:rPr>
          <w:rFonts w:ascii="Tahoma" w:cs="Tahoma" w:hAnsi="Tahoma"/>
          <w:sz w:val="24"/>
          <w:szCs w:val="24"/>
        </w:rPr>
        <w:t>top-down</w:t>
      </w:r>
      <w:r>
        <w:rPr>
          <w:rFonts w:ascii="Tahoma" w:cs="Tahoma" w:hAnsi="Tahoma"/>
          <w:sz w:val="24"/>
          <w:szCs w:val="24"/>
        </w:rPr>
        <w:t xml:space="preserve"> budgeting in line with the requirements of fiscal responsibility legislation. The document assists </w:t>
      </w:r>
      <w:r>
        <w:rPr>
          <w:rFonts w:ascii="Tahoma" w:cs="Tahoma" w:hAnsi="Tahoma"/>
          <w:sz w:val="24"/>
          <w:szCs w:val="24"/>
        </w:rPr>
        <w:t>KnSG</w:t>
      </w:r>
      <w:r>
        <w:rPr>
          <w:rFonts w:ascii="Tahoma" w:cs="Tahoma" w:hAnsi="Tahoma"/>
          <w:sz w:val="24"/>
          <w:szCs w:val="24"/>
        </w:rPr>
        <w:t xml:space="preserve"> in achieving the following objectives:</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Ensure overall and proper linkage between policy, planning and budgeting;</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 xml:space="preserve">To improve fiscal policy formulation and implementation by instituting a medium </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term budget framework as part of the regular economic management process;</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 xml:space="preserve">To improve budget allocations that reflects the </w:t>
      </w:r>
      <w:r>
        <w:rPr>
          <w:rFonts w:ascii="Tahoma" w:cs="Tahoma" w:hAnsi="Tahoma"/>
          <w:sz w:val="24"/>
          <w:szCs w:val="24"/>
        </w:rPr>
        <w:t>KnSG</w:t>
      </w:r>
      <w:r>
        <w:rPr>
          <w:rFonts w:ascii="Tahoma" w:cs="Tahoma" w:hAnsi="Tahoma"/>
          <w:sz w:val="24"/>
          <w:szCs w:val="24"/>
        </w:rPr>
        <w:t xml:space="preserve"> policy priorities and </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development needs of the State;</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 xml:space="preserve">To provide robust medium term expenditure </w:t>
      </w:r>
      <w:r>
        <w:rPr>
          <w:rFonts w:ascii="Tahoma" w:cs="Tahoma" w:hAnsi="Tahoma"/>
          <w:sz w:val="24"/>
          <w:szCs w:val="24"/>
        </w:rPr>
        <w:t>programmes</w:t>
      </w:r>
      <w:r>
        <w:rPr>
          <w:rFonts w:ascii="Tahoma" w:cs="Tahoma" w:hAnsi="Tahoma"/>
          <w:sz w:val="24"/>
          <w:szCs w:val="24"/>
        </w:rPr>
        <w:t xml:space="preserve"> of selected critical MDAs;</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 xml:space="preserve">Ensuring budget execution through more predictable cash releases, thereby </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guaranteeing more effective service delivery;</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Reducing deviation between budgeted and executed levels of expenditures; and</w:t>
      </w:r>
    </w:p>
    <w:p>
      <w:pPr>
        <w:pStyle w:val="style179"/>
        <w:numPr>
          <w:ilvl w:val="0"/>
          <w:numId w:val="10"/>
        </w:numPr>
        <w:spacing w:lineRule="auto" w:line="360"/>
        <w:ind w:left="426" w:hanging="426"/>
        <w:jc w:val="both"/>
        <w:rPr>
          <w:rFonts w:ascii="Tahoma" w:cs="Tahoma" w:hAnsi="Tahoma"/>
          <w:sz w:val="24"/>
          <w:szCs w:val="24"/>
        </w:rPr>
      </w:pPr>
      <w:r>
        <w:rPr>
          <w:rFonts w:ascii="Tahoma" w:cs="Tahoma" w:hAnsi="Tahoma"/>
          <w:sz w:val="24"/>
          <w:szCs w:val="24"/>
        </w:rPr>
        <w:t>To improve cash management.</w:t>
      </w:r>
    </w:p>
    <w:p>
      <w:pPr>
        <w:pStyle w:val="style0"/>
        <w:spacing w:lineRule="auto" w:line="360"/>
        <w:jc w:val="both"/>
        <w:rPr>
          <w:rFonts w:ascii="Tahoma" w:cs="Tahoma" w:hAnsi="Tahoma"/>
          <w:sz w:val="24"/>
          <w:szCs w:val="24"/>
        </w:rPr>
      </w:pPr>
      <w:r>
        <w:rPr>
          <w:rFonts w:ascii="Tahoma" w:cs="Tahoma" w:hAnsi="Tahoma"/>
          <w:sz w:val="24"/>
          <w:szCs w:val="24"/>
        </w:rPr>
        <w:t>In accordance with international best practice in budgeting, the production of a combined Economic and Fiscal Update (EFU) and Fiscal Strategy Paper (FSP) is the first step in the budget preparation cycle for Kano State Government (</w:t>
      </w:r>
      <w:r>
        <w:rPr>
          <w:rFonts w:ascii="Tahoma" w:cs="Tahoma" w:hAnsi="Tahoma"/>
          <w:sz w:val="24"/>
          <w:szCs w:val="24"/>
        </w:rPr>
        <w:t>KnSG</w:t>
      </w:r>
      <w:r>
        <w:rPr>
          <w:rFonts w:ascii="Tahoma" w:cs="Tahoma" w:hAnsi="Tahoma"/>
          <w:sz w:val="24"/>
          <w:szCs w:val="24"/>
        </w:rPr>
        <w:t>) for the period 202</w:t>
      </w:r>
      <w:r>
        <w:rPr>
          <w:rFonts w:ascii="Tahoma" w:cs="Tahoma" w:hAnsi="Tahoma"/>
          <w:sz w:val="24"/>
          <w:szCs w:val="24"/>
        </w:rPr>
        <w:t>2</w:t>
      </w:r>
      <w:r>
        <w:rPr>
          <w:rFonts w:ascii="Tahoma" w:cs="Tahoma" w:hAnsi="Tahoma"/>
          <w:sz w:val="24"/>
          <w:szCs w:val="24"/>
        </w:rPr>
        <w:t>-202</w:t>
      </w:r>
      <w:r>
        <w:rPr>
          <w:rFonts w:ascii="Tahoma" w:cs="Tahoma" w:hAnsi="Tahoma"/>
          <w:sz w:val="24"/>
          <w:szCs w:val="24"/>
        </w:rPr>
        <w:t>4</w:t>
      </w:r>
      <w:r>
        <w:rPr>
          <w:rFonts w:ascii="Tahoma" w:cs="Tahoma" w:hAnsi="Tahoma"/>
          <w:sz w:val="24"/>
          <w:szCs w:val="24"/>
        </w:rPr>
        <w:t>. The purpose of this document is three-fold:</w:t>
      </w:r>
    </w:p>
    <w:p>
      <w:pPr>
        <w:pStyle w:val="style179"/>
        <w:numPr>
          <w:ilvl w:val="0"/>
          <w:numId w:val="11"/>
        </w:numPr>
        <w:spacing w:lineRule="auto" w:line="360"/>
        <w:ind w:left="426" w:hanging="426"/>
        <w:jc w:val="both"/>
        <w:rPr>
          <w:rFonts w:ascii="Tahoma" w:cs="Tahoma" w:hAnsi="Tahoma"/>
          <w:sz w:val="24"/>
          <w:szCs w:val="24"/>
        </w:rPr>
      </w:pPr>
      <w:r>
        <w:rPr>
          <w:rFonts w:ascii="Tahoma" w:cs="Tahoma" w:hAnsi="Tahoma"/>
          <w:sz w:val="24"/>
          <w:szCs w:val="24"/>
        </w:rPr>
        <w:t>To provide a backwards looking summary of key economic and fiscal trends that will</w:t>
      </w:r>
      <w:r>
        <w:rPr>
          <w:rFonts w:ascii="Tahoma" w:cs="Tahoma" w:hAnsi="Tahoma"/>
          <w:sz w:val="24"/>
          <w:szCs w:val="24"/>
        </w:rPr>
        <w:t xml:space="preserve"> </w:t>
      </w:r>
      <w:r>
        <w:rPr>
          <w:rFonts w:ascii="Tahoma" w:cs="Tahoma" w:hAnsi="Tahoma"/>
          <w:sz w:val="24"/>
          <w:szCs w:val="24"/>
        </w:rPr>
        <w:t xml:space="preserve">affect the public expenditure in the future - Economic and Fiscal Update; </w:t>
      </w:r>
    </w:p>
    <w:p>
      <w:pPr>
        <w:pStyle w:val="style179"/>
        <w:numPr>
          <w:ilvl w:val="0"/>
          <w:numId w:val="11"/>
        </w:numPr>
        <w:spacing w:lineRule="auto" w:line="360"/>
        <w:ind w:left="426" w:hanging="426"/>
        <w:jc w:val="both"/>
        <w:rPr>
          <w:rFonts w:ascii="Tahoma" w:cs="Tahoma" w:hAnsi="Tahoma"/>
          <w:sz w:val="24"/>
          <w:szCs w:val="24"/>
        </w:rPr>
      </w:pPr>
      <w:r>
        <w:rPr>
          <w:rFonts w:ascii="Tahoma" w:cs="Tahoma" w:hAnsi="Tahoma"/>
          <w:sz w:val="24"/>
          <w:szCs w:val="24"/>
        </w:rPr>
        <w:t>To set out medium term fiscal objectives and targets, including tax policy; revenue</w:t>
      </w:r>
      <w:r>
        <w:rPr>
          <w:rFonts w:ascii="Tahoma" w:cs="Tahoma" w:hAnsi="Tahoma"/>
          <w:sz w:val="24"/>
          <w:szCs w:val="24"/>
        </w:rPr>
        <w:t xml:space="preserve"> </w:t>
      </w:r>
      <w:r>
        <w:rPr>
          <w:rFonts w:ascii="Tahoma" w:cs="Tahoma" w:hAnsi="Tahoma"/>
          <w:sz w:val="24"/>
          <w:szCs w:val="24"/>
        </w:rPr>
        <w:t>mobilisation</w:t>
      </w:r>
      <w:r>
        <w:rPr>
          <w:rFonts w:ascii="Tahoma" w:cs="Tahoma" w:hAnsi="Tahoma"/>
          <w:sz w:val="24"/>
          <w:szCs w:val="24"/>
        </w:rPr>
        <w:t>; level of public expenditure; deficit financing and public debt - Fiscal Strategy Paper; and</w:t>
      </w:r>
    </w:p>
    <w:p>
      <w:pPr>
        <w:pStyle w:val="style179"/>
        <w:numPr>
          <w:ilvl w:val="0"/>
          <w:numId w:val="11"/>
        </w:numPr>
        <w:spacing w:lineRule="auto" w:line="360"/>
        <w:ind w:left="426" w:hanging="426"/>
        <w:jc w:val="both"/>
        <w:rPr>
          <w:rFonts w:ascii="Tahoma" w:cs="Tahoma" w:hAnsi="Tahoma"/>
          <w:sz w:val="24"/>
          <w:szCs w:val="24"/>
        </w:rPr>
      </w:pPr>
      <w:r>
        <w:rPr>
          <w:rFonts w:ascii="Tahoma" w:cs="Tahoma" w:hAnsi="Tahoma"/>
          <w:sz w:val="24"/>
          <w:szCs w:val="24"/>
        </w:rPr>
        <w:t>Provide indicative sector envelopes for the period 202</w:t>
      </w:r>
      <w:r>
        <w:rPr>
          <w:rFonts w:ascii="Tahoma" w:cs="Tahoma" w:hAnsi="Tahoma"/>
          <w:sz w:val="24"/>
          <w:szCs w:val="24"/>
        </w:rPr>
        <w:t>2</w:t>
      </w:r>
      <w:r>
        <w:rPr>
          <w:rFonts w:ascii="Tahoma" w:cs="Tahoma" w:hAnsi="Tahoma"/>
          <w:sz w:val="24"/>
          <w:szCs w:val="24"/>
        </w:rPr>
        <w:t>-202</w:t>
      </w:r>
      <w:r>
        <w:rPr>
          <w:rFonts w:ascii="Tahoma" w:cs="Tahoma" w:hAnsi="Tahoma"/>
          <w:sz w:val="24"/>
          <w:szCs w:val="24"/>
        </w:rPr>
        <w:t>4</w:t>
      </w:r>
      <w:r>
        <w:rPr>
          <w:rFonts w:ascii="Tahoma" w:cs="Tahoma" w:hAnsi="Tahoma"/>
          <w:sz w:val="24"/>
          <w:szCs w:val="24"/>
        </w:rPr>
        <w:t xml:space="preserve">. </w:t>
      </w:r>
    </w:p>
    <w:p>
      <w:pPr>
        <w:pStyle w:val="style0"/>
        <w:spacing w:lineRule="auto" w:line="360"/>
        <w:jc w:val="both"/>
        <w:rPr>
          <w:rFonts w:ascii="Tahoma" w:cs="Tahoma" w:hAnsi="Tahoma"/>
          <w:sz w:val="24"/>
          <w:szCs w:val="24"/>
        </w:rPr>
      </w:pPr>
      <w:r>
        <w:rPr>
          <w:rFonts w:ascii="Tahoma" w:cs="Tahoma" w:hAnsi="Tahoma"/>
          <w:sz w:val="24"/>
          <w:szCs w:val="24"/>
        </w:rPr>
        <w:t xml:space="preserve">The EFU is presented in Section 2 of this document. The EFU provides economic and fiscal analysis </w:t>
      </w:r>
      <w:r>
        <w:rPr>
          <w:rFonts w:ascii="Tahoma" w:cs="Tahoma" w:hAnsi="Tahoma"/>
          <w:sz w:val="24"/>
          <w:szCs w:val="24"/>
        </w:rPr>
        <w:t>to</w:t>
      </w:r>
      <w:r>
        <w:rPr>
          <w:rFonts w:ascii="Tahoma" w:cs="Tahoma" w:hAnsi="Tahoma"/>
          <w:sz w:val="24"/>
          <w:szCs w:val="24"/>
        </w:rPr>
        <w:t xml:space="preserve"> inform the budget planning process. It is aimed primarily at budget policy makers and decision takers in the Kano State Government. The EFU also provides an</w:t>
      </w:r>
      <w:r>
        <w:rPr>
          <w:rFonts w:ascii="Tahoma" w:cs="Tahoma" w:hAnsi="Tahoma"/>
          <w:sz w:val="24"/>
          <w:szCs w:val="24"/>
        </w:rPr>
        <w:t xml:space="preserve"> </w:t>
      </w:r>
      <w:r>
        <w:rPr>
          <w:rFonts w:ascii="Tahoma" w:cs="Tahoma" w:hAnsi="Tahoma"/>
          <w:sz w:val="24"/>
          <w:szCs w:val="24"/>
        </w:rPr>
        <w:t>assessment of budget performance (both historical and current) and identifies significant factors affecting implementation. It includes:</w:t>
      </w:r>
    </w:p>
    <w:p>
      <w:pPr>
        <w:pStyle w:val="style179"/>
        <w:numPr>
          <w:ilvl w:val="1"/>
          <w:numId w:val="12"/>
        </w:numPr>
        <w:spacing w:lineRule="auto" w:line="360"/>
        <w:ind w:left="426" w:hanging="426"/>
        <w:jc w:val="both"/>
        <w:rPr>
          <w:rFonts w:ascii="Tahoma" w:cs="Tahoma" w:hAnsi="Tahoma"/>
          <w:sz w:val="24"/>
          <w:szCs w:val="24"/>
        </w:rPr>
      </w:pPr>
      <w:r>
        <w:rPr>
          <w:rFonts w:ascii="Tahoma" w:cs="Tahoma" w:hAnsi="Tahoma"/>
          <w:sz w:val="24"/>
          <w:szCs w:val="24"/>
        </w:rPr>
        <w:t>Overview of Global, National and State Economic Performance;</w:t>
      </w:r>
    </w:p>
    <w:p>
      <w:pPr>
        <w:pStyle w:val="style179"/>
        <w:numPr>
          <w:ilvl w:val="1"/>
          <w:numId w:val="12"/>
        </w:numPr>
        <w:spacing w:lineRule="auto" w:line="360"/>
        <w:ind w:left="426" w:hanging="426"/>
        <w:jc w:val="both"/>
        <w:rPr>
          <w:rFonts w:ascii="Tahoma" w:cs="Tahoma" w:hAnsi="Tahoma"/>
          <w:sz w:val="24"/>
          <w:szCs w:val="24"/>
        </w:rPr>
      </w:pPr>
      <w:r>
        <w:rPr>
          <w:rFonts w:ascii="Tahoma" w:cs="Tahoma" w:hAnsi="Tahoma"/>
          <w:sz w:val="24"/>
          <w:szCs w:val="24"/>
        </w:rPr>
        <w:t>Overview of the Petroleum Sector; and</w:t>
      </w:r>
    </w:p>
    <w:p>
      <w:pPr>
        <w:pStyle w:val="style179"/>
        <w:numPr>
          <w:ilvl w:val="1"/>
          <w:numId w:val="12"/>
        </w:numPr>
        <w:spacing w:lineRule="auto" w:line="360"/>
        <w:ind w:left="426" w:hanging="426"/>
        <w:jc w:val="both"/>
        <w:rPr>
          <w:rFonts w:ascii="Tahoma" w:cs="Tahoma" w:hAnsi="Tahoma"/>
          <w:sz w:val="24"/>
          <w:szCs w:val="24"/>
        </w:rPr>
      </w:pPr>
      <w:r>
        <w:rPr>
          <w:rFonts w:ascii="Tahoma" w:cs="Tahoma" w:hAnsi="Tahoma"/>
          <w:sz w:val="24"/>
          <w:szCs w:val="24"/>
        </w:rPr>
        <w:t>Trends in budget performance over the last five years.</w:t>
      </w:r>
    </w:p>
    <w:p>
      <w:pPr>
        <w:pStyle w:val="style0"/>
        <w:spacing w:lineRule="auto" w:line="360"/>
        <w:jc w:val="both"/>
        <w:rPr>
          <w:rFonts w:ascii="Tahoma" w:cs="Tahoma" w:hAnsi="Tahoma"/>
          <w:sz w:val="24"/>
          <w:szCs w:val="24"/>
        </w:rPr>
      </w:pPr>
      <w:r>
        <w:rPr>
          <w:rFonts w:ascii="Tahoma" w:cs="Tahoma" w:hAnsi="Tahoma"/>
          <w:sz w:val="24"/>
          <w:szCs w:val="24"/>
        </w:rPr>
        <w:t xml:space="preserve">The FSP is a key element in the </w:t>
      </w:r>
      <w:r>
        <w:rPr>
          <w:rFonts w:ascii="Tahoma" w:cs="Tahoma" w:hAnsi="Tahoma"/>
          <w:sz w:val="24"/>
          <w:szCs w:val="24"/>
        </w:rPr>
        <w:t>KnSG</w:t>
      </w:r>
      <w:r>
        <w:rPr>
          <w:rFonts w:ascii="Tahoma" w:cs="Tahoma" w:hAnsi="Tahoma"/>
          <w:sz w:val="24"/>
          <w:szCs w:val="24"/>
        </w:rPr>
        <w:t xml:space="preserve"> MTEF process and annual budget process. As such,</w:t>
      </w:r>
      <w:r>
        <w:rPr>
          <w:rFonts w:ascii="Tahoma" w:cs="Tahoma" w:hAnsi="Tahoma"/>
          <w:sz w:val="24"/>
          <w:szCs w:val="24"/>
        </w:rPr>
        <w:t xml:space="preserve"> </w:t>
      </w:r>
      <w:r>
        <w:rPr>
          <w:rFonts w:ascii="Tahoma" w:cs="Tahoma" w:hAnsi="Tahoma"/>
          <w:sz w:val="24"/>
          <w:szCs w:val="24"/>
        </w:rPr>
        <w:t xml:space="preserve">it determines the resources available to fund the Government’s growth and poverty reduction </w:t>
      </w:r>
      <w:r>
        <w:rPr>
          <w:rFonts w:ascii="Tahoma" w:cs="Tahoma" w:hAnsi="Tahoma"/>
          <w:sz w:val="24"/>
          <w:szCs w:val="24"/>
        </w:rPr>
        <w:t>programme</w:t>
      </w:r>
      <w:r>
        <w:rPr>
          <w:rFonts w:ascii="Tahoma" w:cs="Tahoma" w:hAnsi="Tahoma"/>
          <w:sz w:val="24"/>
          <w:szCs w:val="24"/>
        </w:rPr>
        <w:t xml:space="preserve"> from a fiscally sustainable perspective</w:t>
      </w:r>
    </w:p>
    <w:p>
      <w:pPr>
        <w:pStyle w:val="style0"/>
        <w:spacing w:after="0" w:lineRule="auto" w:line="360"/>
        <w:jc w:val="both"/>
        <w:rPr>
          <w:rFonts w:ascii="Tahoma" w:cs="Tahoma" w:hAnsi="Tahoma"/>
          <w:sz w:val="24"/>
          <w:szCs w:val="24"/>
        </w:rPr>
      </w:pPr>
      <w:r>
        <w:rPr>
          <w:rFonts w:ascii="Tahoma" w:cs="Tahoma" w:hAnsi="Tahoma"/>
          <w:b/>
          <w:bCs/>
          <w:sz w:val="24"/>
          <w:szCs w:val="24"/>
        </w:rPr>
        <w:t>Institutional Framework for PFM in Kano state</w:t>
      </w:r>
    </w:p>
    <w:p>
      <w:pPr>
        <w:pStyle w:val="style0"/>
        <w:spacing w:after="0" w:lineRule="auto" w:line="360"/>
        <w:jc w:val="both"/>
        <w:rPr>
          <w:rFonts w:ascii="Tahoma" w:cs="Tahoma" w:hAnsi="Tahoma"/>
          <w:sz w:val="24"/>
          <w:szCs w:val="24"/>
        </w:rPr>
      </w:pPr>
      <w:r>
        <w:rPr>
          <w:rFonts w:ascii="Tahoma" w:cs="Tahoma" w:hAnsi="Tahoma"/>
          <w:sz w:val="24"/>
          <w:szCs w:val="24"/>
        </w:rPr>
        <w:t>This refers to the physical arrangement through which all PFM Process are being carried out. This process depends on whether the financial item is either revenue or expenditure.</w:t>
      </w:r>
      <w:r>
        <w:rPr>
          <w:rFonts w:ascii="Tahoma" w:cs="Tahoma" w:hAnsi="Tahoma"/>
          <w:sz w:val="24"/>
          <w:szCs w:val="24"/>
        </w:rPr>
        <w:t xml:space="preserve"> </w:t>
      </w:r>
      <w:r>
        <w:rPr>
          <w:rFonts w:ascii="Tahoma" w:cs="Tahoma" w:hAnsi="Tahoma"/>
          <w:sz w:val="24"/>
          <w:szCs w:val="24"/>
        </w:rPr>
        <w:t>On the revenue side, the framework in this dimension provides the roles of the following</w:t>
      </w:r>
      <w:r>
        <w:rPr>
          <w:rFonts w:ascii="Tahoma" w:cs="Tahoma" w:hAnsi="Tahoma"/>
          <w:sz w:val="24"/>
          <w:szCs w:val="24"/>
        </w:rPr>
        <w:t xml:space="preserve"> </w:t>
      </w:r>
      <w:r>
        <w:rPr>
          <w:rFonts w:ascii="Tahoma" w:cs="Tahoma" w:hAnsi="Tahoma"/>
          <w:sz w:val="24"/>
          <w:szCs w:val="24"/>
        </w:rPr>
        <w:t>institutions:</w:t>
      </w:r>
    </w:p>
    <w:p>
      <w:pPr>
        <w:pStyle w:val="style179"/>
        <w:numPr>
          <w:ilvl w:val="0"/>
          <w:numId w:val="13"/>
        </w:numPr>
        <w:spacing w:lineRule="auto" w:line="360"/>
        <w:ind w:left="426" w:hanging="426"/>
        <w:jc w:val="both"/>
        <w:rPr>
          <w:rFonts w:ascii="Tahoma" w:cs="Tahoma" w:hAnsi="Tahoma"/>
          <w:sz w:val="24"/>
          <w:szCs w:val="24"/>
        </w:rPr>
      </w:pPr>
      <w:r>
        <w:rPr>
          <w:rFonts w:ascii="Tahoma" w:cs="Tahoma" w:hAnsi="Tahoma"/>
          <w:sz w:val="24"/>
          <w:szCs w:val="24"/>
        </w:rPr>
        <w:t>Kano Internal Revenue Services (KIRS) - It is the main revenue collecting Agency on</w:t>
      </w:r>
      <w:r>
        <w:rPr>
          <w:rFonts w:ascii="Tahoma" w:cs="Tahoma" w:hAnsi="Tahoma"/>
          <w:sz w:val="24"/>
          <w:szCs w:val="24"/>
        </w:rPr>
        <w:t xml:space="preserve"> </w:t>
      </w:r>
      <w:r>
        <w:rPr>
          <w:rFonts w:ascii="Tahoma" w:cs="Tahoma" w:hAnsi="Tahoma"/>
          <w:sz w:val="24"/>
          <w:szCs w:val="24"/>
        </w:rPr>
        <w:t>behalf of the State Government. It was established by legislative act;</w:t>
      </w:r>
    </w:p>
    <w:p>
      <w:pPr>
        <w:pStyle w:val="style179"/>
        <w:numPr>
          <w:ilvl w:val="0"/>
          <w:numId w:val="13"/>
        </w:numPr>
        <w:spacing w:lineRule="auto" w:line="360"/>
        <w:ind w:left="426" w:hanging="426"/>
        <w:jc w:val="both"/>
        <w:rPr>
          <w:rFonts w:ascii="Tahoma" w:cs="Tahoma" w:hAnsi="Tahoma"/>
          <w:sz w:val="24"/>
          <w:szCs w:val="24"/>
        </w:rPr>
      </w:pPr>
      <w:r>
        <w:rPr>
          <w:rFonts w:ascii="Tahoma" w:cs="Tahoma" w:hAnsi="Tahoma"/>
          <w:sz w:val="24"/>
          <w:szCs w:val="24"/>
        </w:rPr>
        <w:t>Other Revenue / income collecting MDAs; and</w:t>
      </w:r>
      <w:r>
        <w:rPr>
          <w:rFonts w:ascii="Tahoma" w:cs="Tahoma" w:hAnsi="Tahoma"/>
          <w:sz w:val="24"/>
          <w:szCs w:val="24"/>
        </w:rPr>
        <w:t>,</w:t>
      </w:r>
    </w:p>
    <w:p>
      <w:pPr>
        <w:pStyle w:val="style179"/>
        <w:numPr>
          <w:ilvl w:val="0"/>
          <w:numId w:val="13"/>
        </w:numPr>
        <w:spacing w:lineRule="auto" w:line="360"/>
        <w:ind w:left="426" w:hanging="426"/>
        <w:jc w:val="both"/>
        <w:rPr>
          <w:rFonts w:ascii="Tahoma" w:cs="Tahoma" w:hAnsi="Tahoma"/>
          <w:sz w:val="24"/>
          <w:szCs w:val="24"/>
        </w:rPr>
      </w:pPr>
      <w:r>
        <w:rPr>
          <w:rFonts w:ascii="Tahoma" w:cs="Tahoma" w:hAnsi="Tahoma"/>
          <w:sz w:val="24"/>
          <w:szCs w:val="24"/>
        </w:rPr>
        <w:t xml:space="preserve">Office of the Accountant General. This Office collects not only those revenues primarily subsumed by the KIRS and other revenue collecting agencies, but also all other accrued revenues from Federation Accounts and other Capital receipts as may be from time to time. The Office of the Accountant General is an integral Division of Ministry of Finance which has five Departments headed by substantive Directors. </w:t>
      </w:r>
    </w:p>
    <w:p>
      <w:pPr>
        <w:pStyle w:val="style0"/>
        <w:spacing w:lineRule="auto" w:line="360"/>
        <w:jc w:val="both"/>
        <w:rPr>
          <w:rFonts w:ascii="Tahoma" w:cs="Tahoma" w:hAnsi="Tahoma"/>
          <w:sz w:val="24"/>
          <w:szCs w:val="24"/>
        </w:rPr>
      </w:pPr>
      <w:r>
        <w:rPr>
          <w:rFonts w:ascii="Tahoma" w:cs="Tahoma" w:hAnsi="Tahoma"/>
          <w:sz w:val="24"/>
          <w:szCs w:val="24"/>
        </w:rPr>
        <w:t>On the expenditure side, the institutional framework in respect of expenditure emanates from the provisions of the approved Budget for the year under review. This budget document derives its source from four streams namely:</w:t>
      </w:r>
    </w:p>
    <w:p>
      <w:pPr>
        <w:pStyle w:val="style179"/>
        <w:numPr>
          <w:ilvl w:val="0"/>
          <w:numId w:val="14"/>
        </w:numPr>
        <w:spacing w:lineRule="auto" w:line="360"/>
        <w:ind w:left="426" w:hanging="426"/>
        <w:jc w:val="both"/>
        <w:rPr>
          <w:rFonts w:ascii="Tahoma" w:cs="Tahoma" w:hAnsi="Tahoma"/>
          <w:sz w:val="24"/>
          <w:szCs w:val="24"/>
        </w:rPr>
      </w:pPr>
      <w:r>
        <w:rPr>
          <w:rFonts w:ascii="Tahoma" w:cs="Tahoma" w:hAnsi="Tahoma"/>
          <w:sz w:val="24"/>
          <w:szCs w:val="24"/>
        </w:rPr>
        <w:t>Policy pronouncements by the Government;</w:t>
      </w:r>
    </w:p>
    <w:p>
      <w:pPr>
        <w:pStyle w:val="style179"/>
        <w:numPr>
          <w:ilvl w:val="0"/>
          <w:numId w:val="14"/>
        </w:numPr>
        <w:spacing w:lineRule="auto" w:line="360"/>
        <w:ind w:left="426" w:hanging="426"/>
        <w:jc w:val="both"/>
        <w:rPr>
          <w:rFonts w:ascii="Tahoma" w:cs="Tahoma" w:hAnsi="Tahoma"/>
          <w:sz w:val="24"/>
          <w:szCs w:val="24"/>
        </w:rPr>
      </w:pPr>
      <w:r>
        <w:rPr>
          <w:rFonts w:ascii="Tahoma" w:cs="Tahoma" w:hAnsi="Tahoma"/>
          <w:sz w:val="24"/>
          <w:szCs w:val="24"/>
        </w:rPr>
        <w:t>Proposals from Ministries and Departments as well as other Agencies of the State Government;</w:t>
      </w:r>
    </w:p>
    <w:p>
      <w:pPr>
        <w:pStyle w:val="style179"/>
        <w:numPr>
          <w:ilvl w:val="0"/>
          <w:numId w:val="14"/>
        </w:numPr>
        <w:spacing w:lineRule="auto" w:line="360"/>
        <w:ind w:left="426" w:hanging="426"/>
        <w:jc w:val="both"/>
        <w:rPr>
          <w:rFonts w:ascii="Tahoma" w:cs="Tahoma" w:hAnsi="Tahoma"/>
          <w:sz w:val="24"/>
          <w:szCs w:val="24"/>
        </w:rPr>
      </w:pPr>
      <w:r>
        <w:rPr>
          <w:rFonts w:ascii="Tahoma" w:cs="Tahoma" w:hAnsi="Tahoma"/>
          <w:sz w:val="24"/>
          <w:szCs w:val="24"/>
        </w:rPr>
        <w:t xml:space="preserve">Public inputs through </w:t>
      </w:r>
      <w:r>
        <w:rPr>
          <w:rFonts w:ascii="Tahoma" w:cs="Tahoma" w:hAnsi="Tahoma"/>
          <w:sz w:val="24"/>
          <w:szCs w:val="24"/>
        </w:rPr>
        <w:t>SHoA</w:t>
      </w:r>
      <w:r>
        <w:rPr>
          <w:rFonts w:ascii="Tahoma" w:cs="Tahoma" w:hAnsi="Tahoma"/>
          <w:sz w:val="24"/>
          <w:szCs w:val="24"/>
        </w:rPr>
        <w:t xml:space="preserve"> (conducted through Public hearing and representations); and or </w:t>
      </w:r>
      <w:r>
        <w:rPr>
          <w:rFonts w:ascii="Tahoma" w:cs="Tahoma" w:hAnsi="Tahoma"/>
          <w:sz w:val="24"/>
          <w:szCs w:val="24"/>
        </w:rPr>
        <w:t>SHoA</w:t>
      </w:r>
      <w:r>
        <w:rPr>
          <w:rFonts w:ascii="Tahoma" w:cs="Tahoma" w:hAnsi="Tahoma"/>
          <w:sz w:val="24"/>
          <w:szCs w:val="24"/>
        </w:rPr>
        <w:t xml:space="preserve"> resolution</w:t>
      </w:r>
      <w:r>
        <w:rPr>
          <w:rFonts w:ascii="Tahoma" w:cs="Tahoma" w:hAnsi="Tahoma"/>
          <w:sz w:val="24"/>
          <w:szCs w:val="24"/>
        </w:rPr>
        <w:t>; and,</w:t>
      </w:r>
    </w:p>
    <w:p>
      <w:pPr>
        <w:pStyle w:val="style179"/>
        <w:numPr>
          <w:ilvl w:val="0"/>
          <w:numId w:val="14"/>
        </w:numPr>
        <w:spacing w:lineRule="auto" w:line="360"/>
        <w:ind w:left="426" w:hanging="426"/>
        <w:jc w:val="both"/>
        <w:rPr>
          <w:rFonts w:ascii="Tahoma" w:cs="Tahoma" w:hAnsi="Tahoma"/>
          <w:sz w:val="24"/>
          <w:szCs w:val="24"/>
        </w:rPr>
      </w:pPr>
      <w:r>
        <w:rPr>
          <w:rFonts w:ascii="Tahoma" w:cs="Tahoma" w:hAnsi="Tahoma"/>
          <w:sz w:val="24"/>
          <w:szCs w:val="24"/>
        </w:rPr>
        <w:t>Kano State Development Plan (KSDP).</w:t>
      </w:r>
    </w:p>
    <w:p>
      <w:pPr>
        <w:pStyle w:val="style0"/>
        <w:spacing w:lineRule="auto" w:line="360"/>
        <w:jc w:val="both"/>
        <w:rPr>
          <w:rFonts w:ascii="Tahoma" w:cs="Tahoma" w:hAnsi="Tahoma"/>
          <w:sz w:val="24"/>
          <w:szCs w:val="24"/>
        </w:rPr>
      </w:pPr>
      <w:r>
        <w:rPr>
          <w:rFonts w:ascii="Tahoma" w:cs="Tahoma" w:hAnsi="Tahoma"/>
          <w:sz w:val="24"/>
          <w:szCs w:val="24"/>
        </w:rPr>
        <w:t xml:space="preserve">The commitment in the budget is actualized through the issuance of Warrants to State Accountant-General (AG) initiated by </w:t>
      </w:r>
      <w:r>
        <w:rPr>
          <w:rFonts w:ascii="Tahoma" w:cs="Tahoma" w:hAnsi="Tahoma"/>
          <w:sz w:val="24"/>
          <w:szCs w:val="24"/>
        </w:rPr>
        <w:t>MoPB</w:t>
      </w:r>
      <w:r>
        <w:rPr>
          <w:rFonts w:ascii="Tahoma" w:cs="Tahoma" w:hAnsi="Tahoma"/>
          <w:sz w:val="24"/>
          <w:szCs w:val="24"/>
        </w:rPr>
        <w:t>, certified by Ministry of Justice and approved</w:t>
      </w:r>
      <w:r>
        <w:rPr>
          <w:rFonts w:ascii="Tahoma" w:cs="Tahoma" w:hAnsi="Tahoma"/>
          <w:sz w:val="24"/>
          <w:szCs w:val="24"/>
        </w:rPr>
        <w:t xml:space="preserve"> </w:t>
      </w:r>
      <w:r>
        <w:rPr>
          <w:rFonts w:ascii="Tahoma" w:cs="Tahoma" w:hAnsi="Tahoma"/>
          <w:sz w:val="24"/>
          <w:szCs w:val="24"/>
        </w:rPr>
        <w:t>by</w:t>
      </w:r>
      <w:r>
        <w:rPr>
          <w:rFonts w:ascii="Tahoma" w:cs="Tahoma" w:hAnsi="Tahoma"/>
          <w:sz w:val="24"/>
          <w:szCs w:val="24"/>
        </w:rPr>
        <w:t xml:space="preserve"> </w:t>
      </w:r>
      <w:r>
        <w:rPr>
          <w:rFonts w:ascii="Tahoma" w:cs="Tahoma" w:hAnsi="Tahoma"/>
          <w:sz w:val="24"/>
          <w:szCs w:val="24"/>
        </w:rPr>
        <w:t xml:space="preserve">the Executive Governor to carry out the mandate. The Warrant itself could be General </w:t>
      </w:r>
      <w:r>
        <w:rPr>
          <w:rFonts w:ascii="Tahoma" w:cs="Tahoma" w:hAnsi="Tahoma"/>
          <w:sz w:val="24"/>
          <w:szCs w:val="24"/>
        </w:rPr>
        <w:t>or provisional. This instrument authorizes the AG to commence spending of public Funds within the stipulation of the approved legislative Budget of the year.</w:t>
      </w:r>
    </w:p>
    <w:p>
      <w:pPr>
        <w:pStyle w:val="style0"/>
        <w:spacing w:lineRule="auto" w:line="360"/>
        <w:jc w:val="both"/>
        <w:rPr>
          <w:rFonts w:ascii="Tahoma" w:cs="Tahoma" w:hAnsi="Tahoma"/>
          <w:sz w:val="24"/>
          <w:szCs w:val="24"/>
        </w:rPr>
      </w:pPr>
      <w:r>
        <w:rPr>
          <w:rFonts w:ascii="Tahoma" w:cs="Tahoma" w:hAnsi="Tahoma"/>
          <w:sz w:val="24"/>
          <w:szCs w:val="24"/>
        </w:rPr>
        <w:t xml:space="preserve">All MDAs serve as springboard for the implementation of the Budget provisions. In compliance with the Financial Instructions, relevant circulars and provisions, as well as other relative directives that from time to time are ushered in by the State Executive Council. </w:t>
      </w:r>
    </w:p>
    <w:p>
      <w:pPr>
        <w:pStyle w:val="style0"/>
        <w:spacing w:lineRule="auto" w:line="360"/>
        <w:jc w:val="both"/>
        <w:rPr>
          <w:rFonts w:ascii="Tahoma" w:cs="Tahoma" w:hAnsi="Tahoma"/>
          <w:sz w:val="24"/>
          <w:szCs w:val="24"/>
        </w:rPr>
      </w:pPr>
      <w:r>
        <w:rPr>
          <w:rFonts w:ascii="Tahoma" w:cs="Tahoma" w:hAnsi="Tahoma"/>
          <w:sz w:val="24"/>
          <w:szCs w:val="24"/>
        </w:rPr>
        <w:t>The legislative arm of the Government also exercise oversight functions to ensure compliance with the contents of the approved Budget document as well as adherence to</w:t>
      </w:r>
      <w:r>
        <w:rPr>
          <w:rFonts w:ascii="Tahoma" w:cs="Tahoma" w:hAnsi="Tahoma"/>
          <w:sz w:val="24"/>
          <w:szCs w:val="24"/>
        </w:rPr>
        <w:t xml:space="preserve"> </w:t>
      </w:r>
      <w:r>
        <w:rPr>
          <w:rFonts w:ascii="Tahoma" w:cs="Tahoma" w:hAnsi="Tahoma"/>
          <w:sz w:val="24"/>
          <w:szCs w:val="24"/>
        </w:rPr>
        <w:t>all</w:t>
      </w:r>
      <w:r>
        <w:rPr>
          <w:rFonts w:ascii="Tahoma" w:cs="Tahoma" w:hAnsi="Tahoma"/>
          <w:sz w:val="24"/>
          <w:szCs w:val="24"/>
        </w:rPr>
        <w:t xml:space="preserve"> </w:t>
      </w:r>
      <w:r>
        <w:rPr>
          <w:rFonts w:ascii="Tahoma" w:cs="Tahoma" w:hAnsi="Tahoma"/>
          <w:sz w:val="24"/>
          <w:szCs w:val="24"/>
        </w:rPr>
        <w:t>available guiding rules and statute.</w:t>
      </w:r>
    </w:p>
    <w:p>
      <w:pPr>
        <w:pStyle w:val="style0"/>
        <w:spacing w:lineRule="auto" w:line="360"/>
        <w:jc w:val="both"/>
        <w:rPr>
          <w:rFonts w:ascii="Tahoma" w:cs="Tahoma" w:hAnsi="Tahoma"/>
          <w:sz w:val="24"/>
          <w:szCs w:val="24"/>
        </w:rPr>
      </w:pPr>
      <w:r>
        <w:rPr>
          <w:rFonts w:ascii="Tahoma" w:cs="Tahoma" w:hAnsi="Tahoma"/>
          <w:sz w:val="24"/>
          <w:szCs w:val="24"/>
        </w:rPr>
        <w:t xml:space="preserve">The OSAG on the other hand, and on behalf of the State legislative arm keeps track of all financial transactions of the Government and render appropriate comments and qualification. </w:t>
      </w:r>
    </w:p>
    <w:p>
      <w:pPr>
        <w:pStyle w:val="style0"/>
        <w:spacing w:lineRule="auto" w:line="360"/>
        <w:jc w:val="both"/>
        <w:rPr>
          <w:rFonts w:ascii="Tahoma" w:cs="Tahoma" w:hAnsi="Tahoma"/>
          <w:sz w:val="24"/>
          <w:szCs w:val="24"/>
        </w:rPr>
      </w:pPr>
      <w:r>
        <w:rPr>
          <w:rFonts w:ascii="Tahoma" w:cs="Tahoma" w:hAnsi="Tahoma"/>
          <w:sz w:val="24"/>
          <w:szCs w:val="24"/>
        </w:rPr>
        <w:t>Another important institutional framework in the circle of financial management in the State also includes Due Process Office. This institution plays a significant role in ensuring compliance with the existing Monetary &amp; Fiscal Policies by every Government establishment. It ensures adherence with the best practice: as well as monitors the execution of all capital projects.</w:t>
      </w:r>
    </w:p>
    <w:p>
      <w:pPr>
        <w:pStyle w:val="style0"/>
        <w:spacing w:lineRule="auto" w:line="360"/>
        <w:jc w:val="both"/>
        <w:rPr>
          <w:rFonts w:ascii="Tahoma" w:cs="Tahoma" w:hAnsi="Tahoma"/>
          <w:sz w:val="24"/>
          <w:szCs w:val="24"/>
        </w:rPr>
      </w:pPr>
      <w:r>
        <w:rPr>
          <w:rFonts w:ascii="Tahoma" w:cs="Tahoma" w:hAnsi="Tahoma"/>
          <w:sz w:val="24"/>
          <w:szCs w:val="24"/>
        </w:rPr>
        <w:t xml:space="preserve">Thus FSP is an indispensable element in annual budget process as it determine the </w:t>
      </w:r>
      <w:r>
        <w:rPr>
          <w:rFonts w:ascii="Tahoma" w:cs="Tahoma" w:hAnsi="Tahoma"/>
          <w:sz w:val="24"/>
          <w:szCs w:val="24"/>
        </w:rPr>
        <w:t xml:space="preserve">resources available to fund government prioritized projects and </w:t>
      </w:r>
      <w:r>
        <w:rPr>
          <w:rFonts w:ascii="Tahoma" w:cs="Tahoma" w:hAnsi="Tahoma"/>
          <w:sz w:val="24"/>
          <w:szCs w:val="24"/>
        </w:rPr>
        <w:t>programmes</w:t>
      </w:r>
      <w:r>
        <w:rPr>
          <w:rFonts w:ascii="Tahoma" w:cs="Tahoma" w:hAnsi="Tahoma"/>
          <w:sz w:val="24"/>
          <w:szCs w:val="24"/>
        </w:rPr>
        <w:t xml:space="preserve"> in a sustainable manner and consistent with its development policy objective and priorities as encapsulated in the existing policy document It provides justification and corroborate the estimation for medium-term major Revenue and Expenditure aggregates  including important components of the MTEF Process such as fiscal targets, fiscal constraints and an assessment of the fiscal risks. </w:t>
      </w:r>
    </w:p>
    <w:p>
      <w:pPr>
        <w:pStyle w:val="style0"/>
        <w:spacing w:lineRule="auto" w:line="360"/>
        <w:jc w:val="both"/>
        <w:rPr>
          <w:rFonts w:ascii="Segoe UI" w:cs="Segoe UI" w:hAnsi="Segoe UI"/>
        </w:rPr>
      </w:pPr>
      <w:r>
        <w:rPr>
          <w:rFonts w:ascii="Segoe UI" w:cs="Segoe UI" w:hAnsi="Segoe UI"/>
        </w:rPr>
        <w:t xml:space="preserve">In line with the Medium-Term Budget forecast </w:t>
      </w:r>
      <w:r>
        <w:rPr>
          <w:rFonts w:ascii="Segoe UI" w:cs="Segoe UI" w:hAnsi="Segoe UI"/>
        </w:rPr>
        <w:t xml:space="preserve">and </w:t>
      </w:r>
      <w:r>
        <w:rPr>
          <w:rFonts w:ascii="Segoe UI" w:cs="Segoe UI" w:hAnsi="Segoe UI"/>
        </w:rPr>
        <w:t xml:space="preserve">FSP strategy, the Government has reviewed its fiscal policies in the areas of Cash management, IGR, etc. These fiscal components are targeted towards boosting of revenue generation for Government financial obligation as well as investment, this is achievable through </w:t>
      </w:r>
      <w:r>
        <w:rPr>
          <w:rFonts w:ascii="Segoe UI" w:cs="Segoe UI" w:hAnsi="Segoe UI"/>
        </w:rPr>
        <w:t>proper linkage between policy, planning and budgetin</w:t>
      </w:r>
      <w:r>
        <w:rPr>
          <w:rFonts w:ascii="Segoe UI" w:cs="Segoe UI" w:hAnsi="Segoe UI"/>
        </w:rPr>
        <w:t xml:space="preserve">g, as </w:t>
      </w:r>
      <w:r>
        <w:rPr>
          <w:rFonts w:ascii="Segoe UI" w:cs="Segoe UI" w:hAnsi="Segoe UI"/>
        </w:rPr>
        <w:t>well as e</w:t>
      </w:r>
      <w:r>
        <w:rPr>
          <w:rFonts w:ascii="Tahoma" w:cs="Tahoma" w:hAnsi="Tahoma"/>
          <w:sz w:val="24"/>
          <w:szCs w:val="24"/>
        </w:rPr>
        <w:t>nsuring budget execution through more predictable cash releases</w:t>
      </w:r>
      <w:r>
        <w:rPr>
          <w:rFonts w:ascii="Tahoma" w:cs="Tahoma" w:hAnsi="Tahoma"/>
          <w:sz w:val="24"/>
          <w:szCs w:val="24"/>
        </w:rPr>
        <w:t xml:space="preserve"> to the affected projects.</w:t>
      </w:r>
    </w:p>
    <w:p>
      <w:pPr>
        <w:pStyle w:val="style0"/>
        <w:spacing w:lineRule="auto" w:line="360"/>
        <w:jc w:val="both"/>
        <w:rPr>
          <w:rFonts w:ascii="Segoe UI" w:cs="Segoe UI" w:hAnsi="Segoe UI"/>
        </w:rPr>
      </w:pPr>
      <w:r>
        <w:rPr>
          <w:rFonts w:ascii="Segoe UI" w:cs="Segoe UI" w:hAnsi="Segoe UI"/>
        </w:rPr>
        <w:t xml:space="preserve">Fiscal policies strongly recommend that the existing debt and new borrowing should be kept below the established threshold in line with the Fiscal Responsibility Act, 2007. The Fiscal Strategy Paper </w:t>
      </w:r>
      <w:r>
        <w:rPr>
          <w:rFonts w:ascii="Segoe UI" w:cs="Segoe UI" w:hAnsi="Segoe UI"/>
        </w:rPr>
        <w:t xml:space="preserve">prioritized projects and </w:t>
      </w:r>
      <w:r>
        <w:rPr>
          <w:rFonts w:ascii="Segoe UI" w:cs="Segoe UI" w:hAnsi="Segoe UI"/>
        </w:rPr>
        <w:t>programmes</w:t>
      </w:r>
      <w:r>
        <w:rPr>
          <w:rFonts w:ascii="Segoe UI" w:cs="Segoe UI" w:hAnsi="Segoe UI"/>
        </w:rPr>
        <w:t xml:space="preserve"> in a sustainable manner and consistent with its development policy objective</w:t>
      </w:r>
      <w:r>
        <w:rPr>
          <w:rFonts w:ascii="Segoe UI" w:cs="Segoe UI" w:hAnsi="Segoe UI"/>
        </w:rPr>
        <w:t xml:space="preserve"> of the Government. Also, </w:t>
      </w:r>
      <w:r>
        <w:rPr>
          <w:rFonts w:ascii="Tahoma" w:cs="Tahoma" w:hAnsi="Tahoma"/>
          <w:sz w:val="24"/>
          <w:szCs w:val="24"/>
        </w:rPr>
        <w:t>Ensuring budget execution through more predictable cash releases, thereby</w:t>
      </w:r>
    </w:p>
    <w:p>
      <w:pPr>
        <w:pStyle w:val="style0"/>
        <w:spacing w:lineRule="auto" w:line="360"/>
        <w:jc w:val="both"/>
        <w:rPr>
          <w:rFonts w:ascii="Tahoma" w:cs="Tahoma" w:hAnsi="Tahoma"/>
          <w:sz w:val="24"/>
          <w:szCs w:val="24"/>
        </w:rPr>
      </w:pPr>
      <w:r>
        <w:rPr>
          <w:rFonts w:ascii="Leelawadee" w:cs="Leelawadee" w:hAnsi="Leelawadee"/>
        </w:rPr>
        <w:t xml:space="preserve">The </w:t>
      </w:r>
      <w:r>
        <w:rPr>
          <w:rFonts w:ascii="Leelawadee" w:cs="Leelawadee" w:hAnsi="Leelawadee"/>
        </w:rPr>
        <w:t xml:space="preserve">macroeconomic assumptions revealed a decline in revenue from N150.72 in 2022, N146.23 in 2023, </w:t>
      </w:r>
      <w:r>
        <w:rPr>
          <w:rFonts w:ascii="Leelawadee" w:cs="Leelawadee" w:hAnsi="Leelawadee"/>
        </w:rPr>
        <w:t>N144.37 in 2024 and N139.40 in 2025 as shown in the Table below.</w:t>
      </w:r>
      <w:r>
        <w:rPr>
          <w:rFonts w:ascii="Leelawadee" w:cs="Leelawadee" w:hAnsi="Leelawadee"/>
        </w:rPr>
        <w:t xml:space="preserve"> On the other hand, the expenditure decline from N</w:t>
      </w:r>
      <w:r>
        <w:rPr>
          <w:rFonts w:ascii="Leelawadee" w:cs="Leelawadee" w:hAnsi="Leelawadee"/>
        </w:rPr>
        <w:t>199.82</w:t>
      </w:r>
      <w:r>
        <w:rPr>
          <w:rFonts w:ascii="Leelawadee" w:cs="Leelawadee" w:hAnsi="Leelawadee"/>
        </w:rPr>
        <w:t xml:space="preserve"> in 2022 to N1</w:t>
      </w:r>
      <w:r>
        <w:rPr>
          <w:rFonts w:ascii="Leelawadee" w:cs="Leelawadee" w:hAnsi="Leelawadee"/>
        </w:rPr>
        <w:t>87.89</w:t>
      </w:r>
      <w:r>
        <w:rPr>
          <w:rFonts w:ascii="Leelawadee" w:cs="Leelawadee" w:hAnsi="Leelawadee"/>
        </w:rPr>
        <w:t xml:space="preserve"> in 2023, the reduction is due to revenue recorded in the election year. The expenditure is expected to grow from N</w:t>
      </w:r>
      <w:r>
        <w:rPr>
          <w:rFonts w:ascii="Leelawadee" w:cs="Leelawadee" w:hAnsi="Leelawadee"/>
        </w:rPr>
        <w:t>215.95</w:t>
      </w:r>
      <w:r>
        <w:rPr>
          <w:rFonts w:ascii="Leelawadee" w:cs="Leelawadee" w:hAnsi="Leelawadee"/>
        </w:rPr>
        <w:t xml:space="preserve"> in 2024 and N</w:t>
      </w:r>
      <w:r>
        <w:rPr>
          <w:rFonts w:ascii="Leelawadee" w:cs="Leelawadee" w:hAnsi="Leelawadee"/>
        </w:rPr>
        <w:t>204.58</w:t>
      </w:r>
      <w:r>
        <w:rPr>
          <w:rFonts w:ascii="Leelawadee" w:cs="Leelawadee" w:hAnsi="Leelawadee"/>
        </w:rPr>
        <w:t xml:space="preserve"> in 2025.</w:t>
      </w:r>
      <w:r>
        <w:rPr>
          <w:rFonts w:ascii="Tahoma" w:cs="Tahoma" w:hAnsi="Tahoma"/>
        </w:rPr>
        <w:t>The details of the macroeconomic assumptions are as shown in the table below.</w:t>
      </w:r>
      <w:r>
        <w:rPr>
          <w:rFonts w:ascii="Tahoma" w:cs="Tahoma" w:hAnsi="Tahoma"/>
        </w:rPr>
        <w:t xml:space="preserve"> </w:t>
      </w:r>
      <w:r>
        <w:rPr>
          <w:rFonts w:ascii="Tahoma" w:cs="Tahoma" w:hAnsi="Tahoma"/>
          <w:sz w:val="24"/>
          <w:szCs w:val="24"/>
        </w:rPr>
        <w:t xml:space="preserve">The indicative </w:t>
      </w:r>
      <w:r>
        <w:rPr>
          <w:rFonts w:ascii="Tahoma" w:cs="Tahoma" w:hAnsi="Tahoma"/>
          <w:sz w:val="24"/>
          <w:szCs w:val="24"/>
        </w:rPr>
        <w:t>four</w:t>
      </w:r>
      <w:r>
        <w:rPr>
          <w:rFonts w:ascii="Tahoma" w:cs="Tahoma" w:hAnsi="Tahoma"/>
          <w:sz w:val="24"/>
          <w:szCs w:val="24"/>
        </w:rPr>
        <w:t>e</w:t>
      </w:r>
      <w:r>
        <w:rPr>
          <w:rFonts w:ascii="Tahoma" w:cs="Tahoma" w:hAnsi="Tahoma"/>
          <w:sz w:val="24"/>
          <w:szCs w:val="24"/>
        </w:rPr>
        <w:t>-year fiscal framework for the period 202</w:t>
      </w:r>
      <w:r>
        <w:rPr>
          <w:rFonts w:ascii="Tahoma" w:cs="Tahoma" w:hAnsi="Tahoma"/>
          <w:sz w:val="24"/>
          <w:szCs w:val="24"/>
        </w:rPr>
        <w:t>2</w:t>
      </w:r>
      <w:r>
        <w:rPr>
          <w:rFonts w:ascii="Tahoma" w:cs="Tahoma" w:hAnsi="Tahoma"/>
          <w:sz w:val="24"/>
          <w:szCs w:val="24"/>
        </w:rPr>
        <w:t>-202</w:t>
      </w:r>
      <w:r>
        <w:rPr>
          <w:rFonts w:ascii="Tahoma" w:cs="Tahoma" w:hAnsi="Tahoma"/>
          <w:sz w:val="24"/>
          <w:szCs w:val="24"/>
        </w:rPr>
        <w:t>5</w:t>
      </w:r>
      <w:r>
        <w:rPr>
          <w:rFonts w:ascii="Tahoma" w:cs="Tahoma" w:hAnsi="Tahoma"/>
          <w:sz w:val="24"/>
          <w:szCs w:val="24"/>
        </w:rPr>
        <w:t xml:space="preserve"> is presented in the table below</w:t>
      </w:r>
      <w:r>
        <w:rPr>
          <w:rFonts w:ascii="Tahoma" w:cs="Tahoma" w:hAnsi="Tahoma"/>
          <w:sz w:val="24"/>
          <w:szCs w:val="24"/>
        </w:rPr>
        <w:t>.</w:t>
      </w:r>
      <w:r>
        <w:rPr>
          <w:rFonts w:ascii="Tahoma" w:cs="Tahoma" w:hAnsi="Tahoma"/>
          <w:sz w:val="24"/>
          <w:szCs w:val="24"/>
        </w:rPr>
        <w:t xml:space="preserve"> </w:t>
      </w: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lineRule="auto" w:line="360"/>
        <w:jc w:val="both"/>
        <w:rPr>
          <w:rFonts w:ascii="Tahoma" w:cs="Tahoma" w:hAnsi="Tahoma"/>
          <w:sz w:val="24"/>
          <w:szCs w:val="24"/>
        </w:rPr>
      </w:pPr>
    </w:p>
    <w:p>
      <w:pPr>
        <w:pStyle w:val="style0"/>
        <w:spacing w:after="0"/>
        <w:jc w:val="center"/>
        <w:rPr>
          <w:rFonts w:ascii="Tahoma" w:cs="Tahoma" w:hAnsi="Tahoma"/>
          <w:b/>
          <w:bCs/>
          <w:sz w:val="24"/>
          <w:szCs w:val="24"/>
        </w:rPr>
      </w:pPr>
      <w:r>
        <w:rPr>
          <w:rFonts w:ascii="Tahoma" w:cs="Tahoma" w:hAnsi="Tahoma"/>
          <w:b/>
          <w:bCs/>
          <w:sz w:val="24"/>
          <w:szCs w:val="24"/>
        </w:rPr>
        <w:t>Kano</w:t>
      </w:r>
      <w:r>
        <w:rPr>
          <w:rFonts w:ascii="Tahoma" w:cs="Tahoma" w:hAnsi="Tahoma"/>
          <w:b/>
          <w:bCs/>
          <w:sz w:val="24"/>
          <w:szCs w:val="24"/>
        </w:rPr>
        <w:t xml:space="preserve"> State Medium Term Expenditure Framework </w:t>
      </w:r>
      <w:r>
        <w:rPr>
          <w:rFonts w:ascii="Tahoma" w:cs="Tahoma" w:hAnsi="Tahoma"/>
          <w:b/>
          <w:bCs/>
          <w:sz w:val="24"/>
          <w:szCs w:val="24"/>
        </w:rPr>
        <w:t>(MT</w:t>
      </w:r>
      <w:r>
        <w:rPr>
          <w:rFonts w:ascii="Tahoma" w:cs="Tahoma" w:hAnsi="Tahoma"/>
          <w:b/>
          <w:bCs/>
          <w:sz w:val="24"/>
          <w:szCs w:val="24"/>
        </w:rPr>
        <w:t>E</w:t>
      </w:r>
      <w:r>
        <w:rPr>
          <w:rFonts w:ascii="Tahoma" w:cs="Tahoma" w:hAnsi="Tahoma"/>
          <w:b/>
          <w:bCs/>
          <w:sz w:val="24"/>
          <w:szCs w:val="24"/>
        </w:rPr>
        <w:t>F)</w:t>
      </w:r>
      <w:r>
        <w:rPr>
          <w:rFonts w:ascii="Tahoma" w:cs="Tahoma" w:hAnsi="Tahoma"/>
          <w:b/>
          <w:bCs/>
          <w:sz w:val="24"/>
          <w:szCs w:val="24"/>
        </w:rPr>
        <w:t xml:space="preserve">, </w:t>
      </w:r>
      <w:r>
        <w:rPr>
          <w:rFonts w:ascii="Tahoma" w:cs="Tahoma" w:hAnsi="Tahoma"/>
          <w:b/>
          <w:bCs/>
          <w:sz w:val="24"/>
          <w:szCs w:val="24"/>
        </w:rPr>
        <w:t>202</w:t>
      </w:r>
      <w:r>
        <w:rPr>
          <w:rFonts w:ascii="Tahoma" w:cs="Tahoma" w:hAnsi="Tahoma"/>
          <w:b/>
          <w:bCs/>
          <w:sz w:val="24"/>
          <w:szCs w:val="24"/>
        </w:rPr>
        <w:t>2</w:t>
      </w:r>
      <w:r>
        <w:rPr>
          <w:rFonts w:ascii="Tahoma" w:cs="Tahoma" w:hAnsi="Tahoma"/>
          <w:b/>
          <w:bCs/>
          <w:sz w:val="24"/>
          <w:szCs w:val="24"/>
        </w:rPr>
        <w:t>-202</w:t>
      </w:r>
      <w:r>
        <w:rPr>
          <w:rFonts w:ascii="Tahoma" w:cs="Tahoma" w:hAnsi="Tahoma"/>
          <w:b/>
          <w:bCs/>
          <w:sz w:val="24"/>
          <w:szCs w:val="24"/>
        </w:rPr>
        <w:t>5</w:t>
      </w:r>
    </w:p>
    <w:tbl>
      <w:tblPr>
        <w:tblW w:w="9320" w:type="dxa"/>
        <w:tblLook w:val="04A0" w:firstRow="1" w:lastRow="0" w:firstColumn="1" w:lastColumn="0" w:noHBand="0" w:noVBand="1"/>
      </w:tblPr>
      <w:tblGrid>
        <w:gridCol w:w="4066"/>
        <w:gridCol w:w="1330"/>
        <w:gridCol w:w="1297"/>
        <w:gridCol w:w="1330"/>
        <w:gridCol w:w="1296"/>
      </w:tblGrid>
      <w:tr>
        <w:trPr>
          <w:trHeight w:val="299" w:hRule="atLeast"/>
        </w:trPr>
        <w:tc>
          <w:tcPr>
            <w:tcW w:w="4120" w:type="dxa"/>
            <w:tcBorders>
              <w:top w:val="single" w:sz="8" w:space="0" w:color="000000"/>
              <w:left w:val="single" w:sz="8" w:space="0" w:color="000000"/>
              <w:bottom w:val="single" w:sz="8" w:space="0" w:color="000000"/>
              <w:right w:val="single" w:sz="8" w:space="0" w:color="000000"/>
            </w:tcBorders>
            <w:shd w:val="clear" w:color="000000" w:fill="92d050"/>
            <w:noWrap/>
            <w:tcMar>
              <w:top w:w="15" w:type="dxa"/>
              <w:left w:w="15" w:type="dxa"/>
              <w:bottom w:w="0" w:type="dxa"/>
              <w:right w:w="15" w:type="dxa"/>
            </w:tcMar>
            <w:vAlign w:val="center"/>
            <w:hideMark/>
          </w:tcPr>
          <w:p>
            <w:pPr>
              <w:pStyle w:val="style0"/>
              <w:spacing w:after="0"/>
              <w:rPr>
                <w:rFonts w:ascii="Calibri" w:cs="Calibri" w:hAnsi="Calibri"/>
                <w:b/>
                <w:bCs/>
                <w:color w:val="000000"/>
                <w:sz w:val="20"/>
                <w:szCs w:val="20"/>
              </w:rPr>
            </w:pPr>
            <w:r>
              <w:rPr>
                <w:rFonts w:ascii="Calibri" w:cs="Calibri" w:hAnsi="Calibri"/>
                <w:b/>
                <w:bCs/>
                <w:color w:val="000000"/>
                <w:sz w:val="20"/>
                <w:szCs w:val="20"/>
              </w:rPr>
              <w:t>Items</w:t>
            </w:r>
          </w:p>
        </w:tc>
        <w:tc>
          <w:tcPr>
            <w:tcW w:w="1300" w:type="dxa"/>
            <w:tcBorders>
              <w:top w:val="single" w:sz="8" w:space="0" w:color="000000"/>
              <w:left w:val="nil"/>
              <w:bottom w:val="single" w:sz="8" w:space="0" w:color="000000"/>
              <w:right w:val="single" w:sz="8" w:space="0" w:color="000000"/>
            </w:tcBorders>
            <w:shd w:val="clear" w:color="000000" w:fill="92d050"/>
            <w:noWrap/>
            <w:tcMar>
              <w:top w:w="15" w:type="dxa"/>
              <w:left w:w="15" w:type="dxa"/>
              <w:bottom w:w="0" w:type="dxa"/>
              <w:right w:w="15" w:type="dxa"/>
            </w:tcMar>
            <w:vAlign w:val="center"/>
            <w:hideMark/>
          </w:tcPr>
          <w:p>
            <w:pPr>
              <w:pStyle w:val="style0"/>
              <w:spacing w:after="0"/>
              <w:jc w:val="center"/>
              <w:rPr>
                <w:rFonts w:ascii="Calibri" w:cs="Calibri" w:hAnsi="Calibri"/>
                <w:b/>
                <w:bCs/>
                <w:color w:val="000000"/>
                <w:sz w:val="20"/>
                <w:szCs w:val="20"/>
              </w:rPr>
            </w:pPr>
            <w:r>
              <w:rPr>
                <w:rFonts w:ascii="Calibri" w:cs="Calibri" w:hAnsi="Calibri"/>
                <w:b/>
                <w:bCs/>
                <w:color w:val="000000"/>
                <w:sz w:val="20"/>
                <w:szCs w:val="20"/>
              </w:rPr>
              <w:t>2022</w:t>
            </w:r>
          </w:p>
        </w:tc>
        <w:tc>
          <w:tcPr>
            <w:tcW w:w="1300" w:type="dxa"/>
            <w:tcBorders>
              <w:top w:val="single" w:sz="8" w:space="0" w:color="000000"/>
              <w:left w:val="nil"/>
              <w:bottom w:val="single" w:sz="8" w:space="0" w:color="000000"/>
              <w:right w:val="single" w:sz="8" w:space="0" w:color="000000"/>
            </w:tcBorders>
            <w:shd w:val="clear" w:color="000000" w:fill="92d050"/>
            <w:noWrap/>
            <w:tcMar>
              <w:top w:w="15" w:type="dxa"/>
              <w:left w:w="15" w:type="dxa"/>
              <w:bottom w:w="0" w:type="dxa"/>
              <w:right w:w="15" w:type="dxa"/>
            </w:tcMar>
            <w:vAlign w:val="center"/>
            <w:hideMark/>
          </w:tcPr>
          <w:p>
            <w:pPr>
              <w:pStyle w:val="style0"/>
              <w:spacing w:after="0"/>
              <w:jc w:val="center"/>
              <w:rPr>
                <w:rFonts w:ascii="Calibri" w:cs="Calibri" w:hAnsi="Calibri"/>
                <w:b/>
                <w:bCs/>
                <w:color w:val="000000"/>
                <w:sz w:val="20"/>
                <w:szCs w:val="20"/>
              </w:rPr>
            </w:pPr>
            <w:r>
              <w:rPr>
                <w:rFonts w:ascii="Calibri" w:cs="Calibri" w:hAnsi="Calibri"/>
                <w:b/>
                <w:bCs/>
                <w:color w:val="000000"/>
                <w:sz w:val="20"/>
                <w:szCs w:val="20"/>
              </w:rPr>
              <w:t>2023</w:t>
            </w:r>
          </w:p>
        </w:tc>
        <w:tc>
          <w:tcPr>
            <w:tcW w:w="1300" w:type="dxa"/>
            <w:tcBorders>
              <w:top w:val="single" w:sz="8" w:space="0" w:color="000000"/>
              <w:left w:val="nil"/>
              <w:bottom w:val="single" w:sz="8" w:space="0" w:color="000000"/>
              <w:right w:val="single" w:sz="8" w:space="0" w:color="000000"/>
            </w:tcBorders>
            <w:shd w:val="clear" w:color="000000" w:fill="92d050"/>
            <w:noWrap/>
            <w:tcMar>
              <w:top w:w="15" w:type="dxa"/>
              <w:left w:w="15" w:type="dxa"/>
              <w:bottom w:w="0" w:type="dxa"/>
              <w:right w:w="15" w:type="dxa"/>
            </w:tcMar>
            <w:vAlign w:val="center"/>
            <w:hideMark/>
          </w:tcPr>
          <w:p>
            <w:pPr>
              <w:pStyle w:val="style0"/>
              <w:spacing w:after="0"/>
              <w:jc w:val="center"/>
              <w:rPr>
                <w:rFonts w:ascii="Calibri" w:cs="Calibri" w:hAnsi="Calibri"/>
                <w:b/>
                <w:bCs/>
                <w:color w:val="000000"/>
                <w:sz w:val="20"/>
                <w:szCs w:val="20"/>
              </w:rPr>
            </w:pPr>
            <w:r>
              <w:rPr>
                <w:rFonts w:ascii="Calibri" w:cs="Calibri" w:hAnsi="Calibri"/>
                <w:b/>
                <w:bCs/>
                <w:color w:val="000000"/>
                <w:sz w:val="20"/>
                <w:szCs w:val="20"/>
              </w:rPr>
              <w:t>2024</w:t>
            </w:r>
          </w:p>
        </w:tc>
        <w:tc>
          <w:tcPr>
            <w:tcW w:w="1300" w:type="dxa"/>
            <w:tcBorders>
              <w:top w:val="single" w:sz="8" w:space="0" w:color="000000"/>
              <w:left w:val="nil"/>
              <w:bottom w:val="single" w:sz="8" w:space="0" w:color="000000"/>
              <w:right w:val="single" w:sz="8" w:space="0" w:color="000000"/>
            </w:tcBorders>
            <w:shd w:val="clear" w:color="000000" w:fill="92d050"/>
            <w:noWrap/>
            <w:tcMar>
              <w:top w:w="15" w:type="dxa"/>
              <w:left w:w="15" w:type="dxa"/>
              <w:bottom w:w="0" w:type="dxa"/>
              <w:right w:w="15" w:type="dxa"/>
            </w:tcMar>
            <w:vAlign w:val="center"/>
            <w:hideMark/>
          </w:tcPr>
          <w:p>
            <w:pPr>
              <w:pStyle w:val="style0"/>
              <w:spacing w:after="0"/>
              <w:jc w:val="center"/>
              <w:rPr>
                <w:rFonts w:ascii="Calibri" w:cs="Calibri" w:hAnsi="Calibri"/>
                <w:b/>
                <w:bCs/>
                <w:color w:val="000000"/>
                <w:sz w:val="20"/>
                <w:szCs w:val="20"/>
              </w:rPr>
            </w:pPr>
            <w:r>
              <w:rPr>
                <w:rFonts w:ascii="Calibri" w:cs="Calibri" w:hAnsi="Calibri"/>
                <w:b/>
                <w:bCs/>
                <w:color w:val="000000"/>
                <w:sz w:val="20"/>
                <w:szCs w:val="20"/>
              </w:rPr>
              <w:t>2025</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National Inflation</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13.00%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11.00%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10.00%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9.00%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National Real GDP Growth</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4.20%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2.30%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3.30%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4.30%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Budget Oil Production Volume (</w:t>
            </w:r>
            <w:r>
              <w:rPr>
                <w:rFonts w:ascii="Calibri" w:cs="Calibri" w:hAnsi="Calibri"/>
                <w:color w:val="000000"/>
              </w:rPr>
              <w:t>mbpd</w:t>
            </w:r>
            <w:r>
              <w:rPr>
                <w:rFonts w:ascii="Calibri" w:cs="Calibri" w:hAnsi="Calibri"/>
                <w:color w:val="000000"/>
              </w:rPr>
              <w:t>)</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1.88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2.23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2.22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2.21</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Budget Oil Benchmark Price (US$ per barrel)</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53</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Average Exchange Rate (N/US$)</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410.15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410.15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410.13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410.11</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b/>
                <w:bCs/>
                <w:color w:val="000000"/>
              </w:rPr>
            </w:pPr>
            <w:r>
              <w:rPr>
                <w:rFonts w:ascii="Calibri" w:cs="Calibri" w:hAnsi="Calibri"/>
                <w:b/>
                <w:bCs/>
                <w:color w:val="000000"/>
              </w:rPr>
              <w:t>Revenue</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Gross Statutory Allocation</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80,457.93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62,000.00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64,000.00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66,000.00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Other FAAC transfers</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6,436.63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7,126.37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7,126.37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5,700.00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VAT Allocation</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34,679.21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42,231.73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36,621.84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33,386.87</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IGR</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38,152.45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34,877.94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36,621.84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34,320.00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b/>
                <w:bCs/>
                <w:color w:val="000000"/>
              </w:rPr>
            </w:pPr>
            <w:r>
              <w:rPr>
                <w:rFonts w:ascii="Calibri" w:cs="Calibri" w:hAnsi="Calibri"/>
                <w:b/>
                <w:bCs/>
                <w:color w:val="000000"/>
              </w:rPr>
              <w:t>Recurrent Revenue</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159,726.22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146,236.04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144,370.05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139,406.87</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Grants</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14,717.62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13,320.05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31,051.42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30,916.20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Sales of Government Assets</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6888.810614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17145.61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27466.77293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Other Non-Debt Creating Capital Receipts</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6,888.81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5,250.00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5700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b/>
                <w:bCs/>
                <w:color w:val="000000"/>
              </w:rPr>
            </w:pPr>
            <w:r>
              <w:rPr>
                <w:rFonts w:ascii="Calibri" w:cs="Calibri" w:hAnsi="Calibri"/>
                <w:b/>
                <w:bCs/>
                <w:color w:val="000000"/>
              </w:rPr>
              <w:t>Capital Receipt</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28,495.24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30,465.66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63,768.19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36,616.20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b/>
                <w:bCs/>
                <w:color w:val="000000"/>
              </w:rPr>
            </w:pPr>
            <w:r>
              <w:rPr>
                <w:rFonts w:ascii="Calibri" w:cs="Calibri" w:hAnsi="Calibri"/>
                <w:b/>
                <w:bCs/>
                <w:color w:val="000000"/>
              </w:rPr>
              <w:t>Expenditure</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Personnel costs</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66,036.85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54,287.99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55,916.63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66,134.05</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Overhead costs</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24,755.81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20,592.45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21,004.29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25,992.90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Other Recurrent Expenditure*</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33,964.25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50,098.92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53,077.37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30,998.94</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Capital Expenditure</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75,064.55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62,913.34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85,953.09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81,460.97</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b/>
                <w:bCs/>
                <w:color w:val="000000"/>
              </w:rPr>
            </w:pPr>
            <w:r>
              <w:rPr>
                <w:rFonts w:ascii="Calibri" w:cs="Calibri" w:hAnsi="Calibri"/>
                <w:b/>
                <w:bCs/>
                <w:color w:val="000000"/>
              </w:rPr>
              <w:t>Total Expenditure</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199,821.46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187,892.70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215,951.38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b/>
                <w:bCs/>
                <w:color w:val="000000"/>
              </w:rPr>
            </w:pPr>
            <w:r>
              <w:rPr>
                <w:rFonts w:ascii="Calibri" w:cs="Calibri" w:hAnsi="Calibri"/>
                <w:b/>
                <w:bCs/>
                <w:color w:val="000000"/>
              </w:rPr>
              <w:t>204,586.86</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hideMark/>
          </w:tcPr>
          <w:p>
            <w:pPr>
              <w:pStyle w:val="style0"/>
              <w:spacing w:after="0"/>
              <w:rPr>
                <w:rFonts w:ascii="Calibri" w:cs="Calibri" w:hAnsi="Calibri"/>
                <w:color w:val="000000"/>
              </w:rPr>
            </w:pPr>
            <w:r>
              <w:rPr>
                <w:rFonts w:ascii="Calibri" w:cs="Calibri" w:hAnsi="Calibri"/>
                <w:color w:val="000000"/>
              </w:rPr>
              <w:t> </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Budget Deficit</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-11,600.00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-11,191.00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-7,813.14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-28,563.78</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New Domestic Borrowing</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11,600.00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6,539.00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8,049.51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20,701.30</w:t>
            </w:r>
          </w:p>
        </w:tc>
      </w:tr>
      <w:tr>
        <w:tblPrEx/>
        <w:trPr>
          <w:trHeight w:val="299" w:hRule="atLeast"/>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rPr>
                <w:rFonts w:ascii="Calibri" w:cs="Calibri" w:hAnsi="Calibri"/>
                <w:color w:val="000000"/>
              </w:rPr>
            </w:pPr>
            <w:r>
              <w:rPr>
                <w:rFonts w:ascii="Calibri" w:cs="Calibri" w:hAnsi="Calibri"/>
                <w:color w:val="000000"/>
              </w:rPr>
              <w:t>New External Borrowing</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5,000.00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pPr>
              <w:pStyle w:val="style0"/>
              <w:spacing w:after="0"/>
              <w:jc w:val="right"/>
              <w:rPr>
                <w:rFonts w:ascii="Calibri" w:cs="Calibri" w:hAnsi="Calibri"/>
                <w:color w:val="000000"/>
              </w:rPr>
            </w:pPr>
            <w:r>
              <w:rPr>
                <w:rFonts w:ascii="Calibri" w:cs="Calibri" w:hAnsi="Calibri"/>
                <w:color w:val="000000"/>
              </w:rPr>
              <w:t>7,862.48</w:t>
            </w:r>
          </w:p>
        </w:tc>
      </w:tr>
    </w:tbl>
    <w:p>
      <w:pPr>
        <w:pStyle w:val="style0"/>
        <w:spacing w:after="0"/>
        <w:jc w:val="both"/>
        <w:rPr>
          <w:rFonts w:ascii="Tahoma" w:cs="Tahoma" w:hAnsi="Tahoma"/>
        </w:rPr>
      </w:pPr>
      <w:r>
        <w:rPr>
          <w:rFonts w:ascii="Tahoma" w:cs="Tahoma" w:hAnsi="Tahoma"/>
          <w:sz w:val="18"/>
          <w:szCs w:val="18"/>
        </w:rPr>
        <w:t xml:space="preserve"> </w:t>
      </w:r>
      <w:r>
        <w:rPr>
          <w:rFonts w:ascii="Tahoma" w:cs="Tahoma" w:hAnsi="Tahoma"/>
          <w:sz w:val="18"/>
          <w:szCs w:val="18"/>
        </w:rPr>
        <w:t>*Other Recurrent Expenditure comprises Debt Charges and other recurrent Expenditure</w:t>
      </w:r>
    </w:p>
    <w:p>
      <w:pPr>
        <w:pStyle w:val="style0"/>
        <w:spacing w:after="0"/>
        <w:jc w:val="both"/>
        <w:rPr>
          <w:rFonts w:ascii="Tahoma" w:cs="Tahoma" w:hAnsi="Tahoma"/>
          <w:b/>
          <w:bCs/>
          <w:sz w:val="24"/>
          <w:szCs w:val="24"/>
        </w:rPr>
      </w:pPr>
    </w:p>
    <w:p>
      <w:pPr>
        <w:pStyle w:val="style0"/>
        <w:spacing w:lineRule="auto" w:line="360"/>
        <w:jc w:val="both"/>
        <w:rPr>
          <w:rFonts w:ascii="Tahoma" w:cs="Tahoma" w:hAnsi="Tahoma"/>
          <w:sz w:val="24"/>
          <w:szCs w:val="24"/>
        </w:rPr>
      </w:pPr>
      <w:r>
        <w:rPr>
          <w:rFonts w:ascii="Tahoma" w:cs="Tahoma" w:hAnsi="Tahoma"/>
          <w:b/>
          <w:bCs/>
          <w:sz w:val="24"/>
          <w:szCs w:val="24"/>
        </w:rPr>
        <w:t>2.2</w:t>
      </w:r>
      <w:r>
        <w:rPr>
          <w:rFonts w:ascii="Tahoma" w:cs="Tahoma" w:hAnsi="Tahoma"/>
          <w:b/>
          <w:bCs/>
          <w:sz w:val="24"/>
          <w:szCs w:val="24"/>
        </w:rPr>
        <w:tab/>
      </w:r>
      <w:r>
        <w:rPr>
          <w:rFonts w:ascii="Tahoma" w:cs="Tahoma" w:hAnsi="Tahoma"/>
          <w:b/>
          <w:bCs/>
          <w:sz w:val="24"/>
          <w:szCs w:val="24"/>
        </w:rPr>
        <w:t>State’s Revenue policies</w:t>
      </w:r>
      <w:r>
        <w:rPr>
          <w:rFonts w:ascii="Tahoma" w:cs="Tahoma" w:hAnsi="Tahoma"/>
          <w:sz w:val="24"/>
          <w:szCs w:val="24"/>
        </w:rPr>
        <w:t xml:space="preserve">: </w:t>
      </w:r>
      <w:r>
        <w:rPr>
          <w:rFonts w:ascii="Tahoma" w:cs="Tahoma" w:hAnsi="Tahoma"/>
          <w:sz w:val="24"/>
          <w:szCs w:val="24"/>
        </w:rPr>
        <w:t>Kano</w:t>
      </w:r>
      <w:r>
        <w:rPr>
          <w:rFonts w:ascii="Tahoma" w:cs="Tahoma" w:hAnsi="Tahoma"/>
          <w:sz w:val="24"/>
          <w:szCs w:val="24"/>
        </w:rPr>
        <w:t xml:space="preserve"> State Comprehensive Development Framework (CDF) which is the key policy document of the State Government has outlined the focus of the State’s Public Expenditure and Financial Management Reforms (PEFM) recognizing “exercise of control and stewardship in the use of public funds” as one of the primary objectives of the reforms. Ultimately, the reforms seem to entrench a good PFM system which is essential for the implementation of policies and the attainment of the overall State’s developmental objectives.</w:t>
      </w:r>
    </w:p>
    <w:p>
      <w:pPr>
        <w:pStyle w:val="style0"/>
        <w:spacing w:lineRule="auto" w:line="360"/>
        <w:jc w:val="both"/>
        <w:rPr>
          <w:rFonts w:ascii="Tahoma" w:cs="Tahoma" w:hAnsi="Tahoma"/>
          <w:sz w:val="24"/>
          <w:szCs w:val="24"/>
        </w:rPr>
      </w:pPr>
      <w:r>
        <w:rPr>
          <w:rFonts w:ascii="Tahoma" w:cs="Tahoma" w:hAnsi="Tahoma"/>
          <w:sz w:val="24"/>
          <w:szCs w:val="24"/>
        </w:rPr>
        <w:t>Kano</w:t>
      </w:r>
      <w:r>
        <w:rPr>
          <w:rFonts w:ascii="Tahoma" w:cs="Tahoma" w:hAnsi="Tahoma"/>
          <w:sz w:val="24"/>
          <w:szCs w:val="24"/>
        </w:rPr>
        <w:t xml:space="preserve"> State Government </w:t>
      </w:r>
      <w:r>
        <w:rPr>
          <w:rFonts w:ascii="Tahoma" w:cs="Tahoma" w:hAnsi="Tahoma"/>
          <w:sz w:val="24"/>
          <w:szCs w:val="24"/>
        </w:rPr>
        <w:t>enacted Public Financial Management Law, 2020</w:t>
      </w:r>
      <w:r>
        <w:rPr>
          <w:rFonts w:ascii="Tahoma" w:cs="Tahoma" w:hAnsi="Tahoma"/>
          <w:sz w:val="24"/>
          <w:szCs w:val="24"/>
        </w:rPr>
        <w:t xml:space="preserve"> </w:t>
      </w:r>
      <w:r>
        <w:rPr>
          <w:rFonts w:ascii="Tahoma" w:cs="Tahoma" w:hAnsi="Tahoma"/>
          <w:sz w:val="24"/>
          <w:szCs w:val="24"/>
        </w:rPr>
        <w:t xml:space="preserve">with a </w:t>
      </w:r>
      <w:r>
        <w:rPr>
          <w:rFonts w:ascii="Tahoma" w:cs="Tahoma" w:hAnsi="Tahoma"/>
          <w:sz w:val="24"/>
          <w:szCs w:val="24"/>
        </w:rPr>
        <w:t xml:space="preserve">view </w:t>
      </w:r>
      <w:r>
        <w:rPr>
          <w:rFonts w:ascii="Tahoma" w:cs="Tahoma" w:hAnsi="Tahoma"/>
          <w:sz w:val="24"/>
          <w:szCs w:val="24"/>
        </w:rPr>
        <w:t>to</w:t>
      </w:r>
      <w:r>
        <w:rPr>
          <w:rFonts w:ascii="Tahoma" w:cs="Tahoma" w:hAnsi="Tahoma"/>
          <w:sz w:val="24"/>
          <w:szCs w:val="24"/>
        </w:rPr>
        <w:t xml:space="preserve"> provid</w:t>
      </w:r>
      <w:r>
        <w:rPr>
          <w:rFonts w:ascii="Tahoma" w:cs="Tahoma" w:hAnsi="Tahoma"/>
          <w:sz w:val="24"/>
          <w:szCs w:val="24"/>
        </w:rPr>
        <w:t>ing</w:t>
      </w:r>
      <w:r>
        <w:rPr>
          <w:rFonts w:ascii="Tahoma" w:cs="Tahoma" w:hAnsi="Tahoma"/>
          <w:sz w:val="24"/>
          <w:szCs w:val="24"/>
        </w:rPr>
        <w:t xml:space="preserve"> sound Public Ex</w:t>
      </w:r>
      <w:r>
        <w:rPr>
          <w:rFonts w:ascii="Tahoma" w:cs="Tahoma" w:hAnsi="Tahoma"/>
          <w:sz w:val="24"/>
          <w:szCs w:val="24"/>
        </w:rPr>
        <w:t>pen</w:t>
      </w:r>
      <w:r>
        <w:rPr>
          <w:rFonts w:ascii="Tahoma" w:cs="Tahoma" w:hAnsi="Tahoma"/>
          <w:sz w:val="24"/>
          <w:szCs w:val="24"/>
        </w:rPr>
        <w:t xml:space="preserve">diture and Financial </w:t>
      </w:r>
      <w:r>
        <w:rPr>
          <w:rFonts w:ascii="Tahoma" w:cs="Tahoma" w:hAnsi="Tahoma"/>
          <w:sz w:val="24"/>
          <w:szCs w:val="24"/>
        </w:rPr>
        <w:t xml:space="preserve">Management in </w:t>
      </w:r>
      <w:r>
        <w:rPr>
          <w:rFonts w:ascii="Tahoma" w:cs="Tahoma" w:hAnsi="Tahoma"/>
          <w:sz w:val="24"/>
          <w:szCs w:val="24"/>
        </w:rPr>
        <w:t>Kano</w:t>
      </w:r>
      <w:r>
        <w:rPr>
          <w:rFonts w:ascii="Tahoma" w:cs="Tahoma" w:hAnsi="Tahoma"/>
          <w:sz w:val="24"/>
          <w:szCs w:val="24"/>
        </w:rPr>
        <w:t xml:space="preserve"> State aimed at ensuring that for the purpose of overall economic development of the State Government strives towards the followings:</w:t>
      </w:r>
    </w:p>
    <w:p>
      <w:pPr>
        <w:pStyle w:val="style179"/>
        <w:numPr>
          <w:ilvl w:val="0"/>
          <w:numId w:val="15"/>
        </w:numPr>
        <w:spacing w:lineRule="auto" w:line="360"/>
        <w:ind w:left="426" w:hanging="426"/>
        <w:jc w:val="both"/>
        <w:rPr>
          <w:rFonts w:ascii="Tahoma" w:cs="Tahoma" w:hAnsi="Tahoma"/>
          <w:sz w:val="24"/>
          <w:szCs w:val="24"/>
        </w:rPr>
      </w:pPr>
      <w:r>
        <w:rPr>
          <w:rFonts w:ascii="Tahoma" w:cs="Tahoma" w:hAnsi="Tahoma"/>
          <w:sz w:val="24"/>
          <w:szCs w:val="24"/>
        </w:rPr>
        <w:t xml:space="preserve">Limit or reduce government debt to prudent levels by ensuring that the budget deficit at the end of a financial year shall not exceed six per centum of the estimated gross state domestic product and to ensure that such levels be maintained thereafter; </w:t>
      </w:r>
    </w:p>
    <w:p>
      <w:pPr>
        <w:pStyle w:val="style179"/>
        <w:numPr>
          <w:ilvl w:val="0"/>
          <w:numId w:val="15"/>
        </w:numPr>
        <w:spacing w:lineRule="auto" w:line="360"/>
        <w:ind w:left="426" w:hanging="426"/>
        <w:jc w:val="both"/>
        <w:rPr>
          <w:rFonts w:ascii="Tahoma" w:cs="Tahoma" w:hAnsi="Tahoma"/>
          <w:sz w:val="24"/>
          <w:szCs w:val="24"/>
        </w:rPr>
      </w:pPr>
      <w:r>
        <w:rPr>
          <w:rFonts w:ascii="Tahoma" w:cs="Tahoma" w:hAnsi="Tahoma"/>
          <w:sz w:val="24"/>
          <w:szCs w:val="24"/>
        </w:rPr>
        <w:t>Ensure prudent management of the financial risks faced by the Government, having regard to changing economic circumstances;</w:t>
      </w:r>
    </w:p>
    <w:p>
      <w:pPr>
        <w:pStyle w:val="style179"/>
        <w:numPr>
          <w:ilvl w:val="0"/>
          <w:numId w:val="15"/>
        </w:numPr>
        <w:spacing w:lineRule="auto" w:line="360"/>
        <w:ind w:left="426" w:hanging="426"/>
        <w:jc w:val="both"/>
        <w:rPr>
          <w:rFonts w:ascii="Tahoma" w:cs="Tahoma" w:hAnsi="Tahoma"/>
          <w:sz w:val="24"/>
          <w:szCs w:val="24"/>
        </w:rPr>
      </w:pPr>
      <w:r>
        <w:rPr>
          <w:rFonts w:ascii="Tahoma" w:cs="Tahoma" w:hAnsi="Tahoma"/>
          <w:sz w:val="24"/>
          <w:szCs w:val="24"/>
        </w:rPr>
        <w:t>Adopt policies relating to spending which do not increase gove</w:t>
      </w:r>
      <w:r>
        <w:rPr>
          <w:rFonts w:ascii="Tahoma" w:cs="Tahoma" w:hAnsi="Tahoma"/>
          <w:sz w:val="24"/>
          <w:szCs w:val="24"/>
        </w:rPr>
        <w:t>rnment debt to excessive levels;</w:t>
      </w:r>
    </w:p>
    <w:p>
      <w:pPr>
        <w:pStyle w:val="style179"/>
        <w:numPr>
          <w:ilvl w:val="0"/>
          <w:numId w:val="15"/>
        </w:numPr>
        <w:spacing w:lineRule="auto" w:line="360"/>
        <w:ind w:left="426" w:hanging="426"/>
        <w:jc w:val="both"/>
        <w:rPr>
          <w:rFonts w:ascii="Tahoma" w:cs="Tahoma" w:hAnsi="Tahoma"/>
          <w:sz w:val="24"/>
          <w:szCs w:val="24"/>
        </w:rPr>
      </w:pPr>
      <w:r>
        <w:rPr>
          <w:rFonts w:ascii="Tahoma" w:cs="Tahoma" w:hAnsi="Tahoma"/>
          <w:sz w:val="24"/>
          <w:szCs w:val="24"/>
        </w:rPr>
        <w:t>Adopt policies relating to spending and taxing, as are consistent with a reasonable degree of stability and predictability in the level of tax rates in the future;</w:t>
      </w:r>
    </w:p>
    <w:p>
      <w:pPr>
        <w:pStyle w:val="style179"/>
        <w:numPr>
          <w:ilvl w:val="0"/>
          <w:numId w:val="15"/>
        </w:numPr>
        <w:spacing w:lineRule="auto" w:line="360"/>
        <w:ind w:left="426" w:hanging="426"/>
        <w:jc w:val="both"/>
        <w:rPr>
          <w:rFonts w:ascii="Tahoma" w:cs="Tahoma" w:hAnsi="Tahoma"/>
          <w:sz w:val="24"/>
          <w:szCs w:val="24"/>
        </w:rPr>
      </w:pPr>
      <w:r>
        <w:rPr>
          <w:rFonts w:ascii="Tahoma" w:cs="Tahoma" w:hAnsi="Tahoma"/>
          <w:sz w:val="24"/>
          <w:szCs w:val="24"/>
        </w:rPr>
        <w:t>Ensure that the sum which is calculated as the guarantee and given as a percentage of the gross state domestic product for the current financial year along with the two preceding financial years, does not in the aggregate exceed 4.5 per centum.</w:t>
      </w:r>
    </w:p>
    <w:p>
      <w:pPr>
        <w:pStyle w:val="style179"/>
        <w:numPr>
          <w:ilvl w:val="0"/>
          <w:numId w:val="15"/>
        </w:numPr>
        <w:spacing w:lineRule="auto" w:line="360"/>
        <w:ind w:left="426" w:hanging="426"/>
        <w:jc w:val="both"/>
        <w:rPr>
          <w:rFonts w:ascii="Tahoma" w:cs="Tahoma" w:hAnsi="Tahoma"/>
          <w:sz w:val="24"/>
          <w:szCs w:val="24"/>
        </w:rPr>
      </w:pPr>
      <w:r>
        <w:rPr>
          <w:rFonts w:ascii="Tahoma" w:cs="Tahoma" w:hAnsi="Tahoma"/>
          <w:sz w:val="24"/>
          <w:szCs w:val="24"/>
        </w:rPr>
        <w:t>Ensure that at the end of a financial year the total liabilities of the Government (including external debt at the current exchange rates) do not exceed twenty per centum of the estimated gross state domestic product for that financial year and that at the end of the financia</w:t>
      </w:r>
      <w:r>
        <w:rPr>
          <w:rFonts w:ascii="Tahoma" w:cs="Tahoma" w:hAnsi="Tahoma"/>
          <w:sz w:val="24"/>
          <w:szCs w:val="24"/>
        </w:rPr>
        <w:t>l</w:t>
      </w:r>
    </w:p>
    <w:p>
      <w:pPr>
        <w:pStyle w:val="style0"/>
        <w:spacing w:lineRule="auto" w:line="360"/>
        <w:jc w:val="both"/>
        <w:rPr>
          <w:rFonts w:ascii="Tahoma" w:cs="Tahoma" w:hAnsi="Tahoma"/>
          <w:sz w:val="24"/>
          <w:szCs w:val="24"/>
        </w:rPr>
      </w:pPr>
      <w:r>
        <w:rPr>
          <w:rFonts w:ascii="Tahoma" w:cs="Tahoma" w:hAnsi="Tahoma"/>
          <w:sz w:val="24"/>
          <w:szCs w:val="24"/>
        </w:rPr>
        <w:t>Kano</w:t>
      </w:r>
      <w:r>
        <w:rPr>
          <w:rFonts w:ascii="Tahoma" w:cs="Tahoma" w:hAnsi="Tahoma"/>
          <w:sz w:val="24"/>
          <w:szCs w:val="24"/>
        </w:rPr>
        <w:t xml:space="preserve"> State Government introduced </w:t>
      </w:r>
      <w:r>
        <w:rPr>
          <w:rFonts w:ascii="Tahoma" w:cs="Tahoma" w:hAnsi="Tahoma"/>
          <w:sz w:val="24"/>
          <w:szCs w:val="24"/>
        </w:rPr>
        <w:t>“</w:t>
      </w:r>
      <w:r>
        <w:rPr>
          <w:rFonts w:ascii="Tahoma" w:cs="Tahoma" w:hAnsi="Tahoma"/>
          <w:b/>
          <w:bCs/>
          <w:i/>
          <w:iCs/>
          <w:sz w:val="24"/>
          <w:szCs w:val="24"/>
        </w:rPr>
        <w:t>Kano</w:t>
      </w:r>
      <w:r>
        <w:rPr>
          <w:rFonts w:ascii="Tahoma" w:cs="Tahoma" w:hAnsi="Tahoma"/>
          <w:b/>
          <w:bCs/>
          <w:i/>
          <w:iCs/>
          <w:sz w:val="24"/>
          <w:szCs w:val="24"/>
        </w:rPr>
        <w:t xml:space="preserve"> State Revenue (</w:t>
      </w:r>
      <w:r>
        <w:rPr>
          <w:rFonts w:ascii="Tahoma" w:cs="Tahoma" w:hAnsi="Tahoma"/>
          <w:b/>
          <w:bCs/>
          <w:i/>
          <w:iCs/>
          <w:sz w:val="24"/>
          <w:szCs w:val="24"/>
        </w:rPr>
        <w:t xml:space="preserve">Revenue </w:t>
      </w:r>
      <w:r>
        <w:rPr>
          <w:rFonts w:ascii="Tahoma" w:cs="Tahoma" w:hAnsi="Tahoma"/>
          <w:b/>
          <w:bCs/>
          <w:i/>
          <w:iCs/>
          <w:sz w:val="24"/>
          <w:szCs w:val="24"/>
        </w:rPr>
        <w:t>Administration Law</w:t>
      </w:r>
      <w:r>
        <w:rPr>
          <w:rFonts w:ascii="Tahoma" w:cs="Tahoma" w:hAnsi="Tahoma"/>
          <w:b/>
          <w:bCs/>
          <w:i/>
          <w:iCs/>
          <w:sz w:val="24"/>
          <w:szCs w:val="24"/>
        </w:rPr>
        <w:t>”</w:t>
      </w:r>
      <w:r>
        <w:rPr>
          <w:rFonts w:ascii="Tahoma" w:cs="Tahoma" w:hAnsi="Tahoma"/>
          <w:b/>
          <w:bCs/>
          <w:sz w:val="24"/>
          <w:szCs w:val="24"/>
        </w:rPr>
        <w:t xml:space="preserve"> </w:t>
      </w:r>
      <w:r>
        <w:rPr>
          <w:rFonts w:ascii="Tahoma" w:cs="Tahoma" w:hAnsi="Tahoma"/>
          <w:sz w:val="24"/>
          <w:szCs w:val="24"/>
        </w:rPr>
        <w:t xml:space="preserve">A Law to provide the harmonization, </w:t>
      </w:r>
      <w:r>
        <w:rPr>
          <w:rFonts w:ascii="Tahoma" w:cs="Tahoma" w:hAnsi="Tahoma"/>
          <w:sz w:val="24"/>
          <w:szCs w:val="24"/>
        </w:rPr>
        <w:t xml:space="preserve">Administration and </w:t>
      </w:r>
      <w:r>
        <w:rPr>
          <w:rFonts w:ascii="Tahoma" w:cs="Tahoma" w:hAnsi="Tahoma"/>
          <w:sz w:val="24"/>
          <w:szCs w:val="24"/>
        </w:rPr>
        <w:t>C</w:t>
      </w:r>
      <w:r>
        <w:rPr>
          <w:rFonts w:ascii="Tahoma" w:cs="Tahoma" w:hAnsi="Tahoma"/>
          <w:sz w:val="24"/>
          <w:szCs w:val="24"/>
        </w:rPr>
        <w:t>ollection of revenue due to the State and Local Government C</w:t>
      </w:r>
      <w:r>
        <w:rPr>
          <w:rFonts w:ascii="Tahoma" w:cs="Tahoma" w:hAnsi="Tahoma"/>
          <w:sz w:val="24"/>
          <w:szCs w:val="24"/>
        </w:rPr>
        <w:t>o</w:t>
      </w:r>
      <w:r>
        <w:rPr>
          <w:rFonts w:ascii="Tahoma" w:cs="Tahoma" w:hAnsi="Tahoma"/>
          <w:sz w:val="24"/>
          <w:szCs w:val="24"/>
        </w:rPr>
        <w:t>uncil.</w:t>
      </w:r>
      <w:r>
        <w:rPr>
          <w:rFonts w:ascii="Tahoma" w:cs="Tahoma" w:hAnsi="Tahoma"/>
          <w:sz w:val="24"/>
          <w:szCs w:val="24"/>
        </w:rPr>
        <w:t xml:space="preserve"> </w:t>
      </w:r>
      <w:r>
        <w:rPr>
          <w:rFonts w:ascii="Tahoma" w:cs="Tahoma" w:hAnsi="Tahoma"/>
          <w:sz w:val="24"/>
          <w:szCs w:val="24"/>
        </w:rPr>
        <w:t xml:space="preserve">The Board of </w:t>
      </w:r>
      <w:r>
        <w:rPr>
          <w:rFonts w:ascii="Tahoma" w:cs="Tahoma" w:hAnsi="Tahoma"/>
          <w:sz w:val="24"/>
          <w:szCs w:val="24"/>
        </w:rPr>
        <w:t>Kano</w:t>
      </w:r>
      <w:r>
        <w:rPr>
          <w:rFonts w:ascii="Tahoma" w:cs="Tahoma" w:hAnsi="Tahoma"/>
          <w:sz w:val="24"/>
          <w:szCs w:val="24"/>
        </w:rPr>
        <w:t xml:space="preserve"> State Internal Revenue </w:t>
      </w:r>
      <w:r>
        <w:rPr>
          <w:rFonts w:ascii="Tahoma" w:cs="Tahoma" w:hAnsi="Tahoma"/>
          <w:sz w:val="24"/>
          <w:szCs w:val="24"/>
        </w:rPr>
        <w:t>Services has bee</w:t>
      </w:r>
      <w:r>
        <w:rPr>
          <w:rFonts w:ascii="Tahoma" w:cs="Tahoma" w:hAnsi="Tahoma"/>
          <w:sz w:val="24"/>
          <w:szCs w:val="24"/>
        </w:rPr>
        <w:t>n</w:t>
      </w:r>
      <w:r>
        <w:rPr>
          <w:rFonts w:ascii="Tahoma" w:cs="Tahoma" w:hAnsi="Tahoma"/>
          <w:sz w:val="24"/>
          <w:szCs w:val="24"/>
        </w:rPr>
        <w:t xml:space="preserve"> </w:t>
      </w:r>
      <w:r>
        <w:rPr>
          <w:rFonts w:ascii="Tahoma" w:cs="Tahoma" w:hAnsi="Tahoma"/>
          <w:sz w:val="24"/>
          <w:szCs w:val="24"/>
        </w:rPr>
        <w:t>restr</w:t>
      </w:r>
      <w:r>
        <w:rPr>
          <w:rFonts w:ascii="Tahoma" w:cs="Tahoma" w:hAnsi="Tahoma"/>
          <w:sz w:val="24"/>
          <w:szCs w:val="24"/>
        </w:rPr>
        <w:t>ucture</w:t>
      </w:r>
      <w:r>
        <w:rPr>
          <w:rFonts w:ascii="Tahoma" w:cs="Tahoma" w:hAnsi="Tahoma"/>
          <w:sz w:val="24"/>
          <w:szCs w:val="24"/>
        </w:rPr>
        <w:t>d</w:t>
      </w:r>
      <w:r>
        <w:rPr>
          <w:rFonts w:ascii="Tahoma" w:cs="Tahoma" w:hAnsi="Tahoma"/>
          <w:sz w:val="24"/>
          <w:szCs w:val="24"/>
        </w:rPr>
        <w:t xml:space="preserve"> view to sanitizing the Revenue system in the State in res</w:t>
      </w:r>
      <w:r>
        <w:rPr>
          <w:rFonts w:ascii="Tahoma" w:cs="Tahoma" w:hAnsi="Tahoma"/>
          <w:sz w:val="24"/>
          <w:szCs w:val="24"/>
        </w:rPr>
        <w:t>pect of Assessment, Collection a</w:t>
      </w:r>
      <w:r>
        <w:rPr>
          <w:rFonts w:ascii="Tahoma" w:cs="Tahoma" w:hAnsi="Tahoma"/>
          <w:sz w:val="24"/>
          <w:szCs w:val="24"/>
        </w:rPr>
        <w:t>nd Remittance to Revenue Single Account (RSA) for effective service delivery in the State and Related Matters.</w:t>
      </w:r>
    </w:p>
    <w:p>
      <w:pPr>
        <w:pStyle w:val="style0"/>
        <w:spacing w:lineRule="auto" w:line="360"/>
        <w:jc w:val="both"/>
        <w:rPr>
          <w:rFonts w:ascii="Tahoma" w:cs="Tahoma" w:hAnsi="Tahoma"/>
          <w:bCs/>
          <w:sz w:val="24"/>
          <w:szCs w:val="24"/>
        </w:rPr>
      </w:pPr>
      <w:r>
        <w:rPr>
          <w:rFonts w:ascii="Tahoma" w:cs="Tahoma" w:hAnsi="Tahoma"/>
          <w:b/>
          <w:bCs/>
          <w:sz w:val="24"/>
          <w:szCs w:val="24"/>
        </w:rPr>
        <w:t>2.3</w:t>
      </w:r>
      <w:r>
        <w:rPr>
          <w:rFonts w:ascii="Tahoma" w:cs="Tahoma" w:hAnsi="Tahoma"/>
          <w:b/>
          <w:bCs/>
          <w:sz w:val="24"/>
          <w:szCs w:val="24"/>
        </w:rPr>
        <w:tab/>
      </w:r>
      <w:r>
        <w:rPr>
          <w:rFonts w:ascii="Tahoma" w:cs="Tahoma" w:hAnsi="Tahoma"/>
          <w:b/>
          <w:bCs/>
          <w:sz w:val="24"/>
          <w:szCs w:val="24"/>
        </w:rPr>
        <w:t>State’s Expenditure P</w:t>
      </w:r>
      <w:r>
        <w:rPr>
          <w:rFonts w:ascii="Tahoma" w:cs="Tahoma" w:hAnsi="Tahoma"/>
          <w:b/>
          <w:bCs/>
          <w:sz w:val="24"/>
          <w:szCs w:val="24"/>
        </w:rPr>
        <w:t>olicies</w:t>
      </w:r>
      <w:r>
        <w:rPr>
          <w:rFonts w:ascii="Tahoma" w:cs="Tahoma" w:hAnsi="Tahoma"/>
          <w:sz w:val="24"/>
          <w:szCs w:val="24"/>
        </w:rPr>
        <w:t xml:space="preserve">: </w:t>
      </w:r>
      <w:r>
        <w:rPr>
          <w:rFonts w:ascii="Tahoma" w:cs="Tahoma" w:hAnsi="Tahoma"/>
          <w:bCs/>
          <w:sz w:val="24"/>
          <w:szCs w:val="24"/>
        </w:rPr>
        <w:t>Kano</w:t>
      </w:r>
      <w:r>
        <w:rPr>
          <w:rFonts w:ascii="Tahoma" w:cs="Tahoma" w:hAnsi="Tahoma"/>
          <w:bCs/>
          <w:sz w:val="24"/>
          <w:szCs w:val="24"/>
        </w:rPr>
        <w:t xml:space="preserve"> State</w:t>
      </w:r>
      <w:r>
        <w:rPr>
          <w:rFonts w:ascii="Tahoma" w:cs="Tahoma" w:hAnsi="Tahoma"/>
          <w:bCs/>
          <w:sz w:val="24"/>
          <w:szCs w:val="24"/>
        </w:rPr>
        <w:t>’s Expenditure Policies drives through a State’s Comprehensive Development Framework (CDF) which is to develop a holistic socioeconomic development strategy that puts together all major elements affecting the development of the State. The effort represents a shared vision of all stakeholders, a development framework that is designed to guide short and medium-term state development plans and ensure effective linkage to the budget through a Medium-Term Expenditure Framework with sufficient flexibility to respond to emerging needs and exigencies.</w:t>
      </w:r>
    </w:p>
    <w:p>
      <w:pPr>
        <w:pStyle w:val="style0"/>
        <w:spacing w:lineRule="auto" w:line="360"/>
        <w:jc w:val="both"/>
        <w:rPr>
          <w:rFonts w:ascii="Tahoma" w:cs="Tahoma" w:hAnsi="Tahoma"/>
          <w:bCs/>
          <w:sz w:val="24"/>
          <w:szCs w:val="24"/>
        </w:rPr>
      </w:pPr>
      <w:r>
        <w:rPr>
          <w:rFonts w:ascii="Tahoma" w:cs="Tahoma" w:hAnsi="Tahoma"/>
          <w:bCs/>
          <w:sz w:val="24"/>
          <w:szCs w:val="24"/>
        </w:rPr>
        <w:t xml:space="preserve">This section provides a brief review of the development process of the State since its creation, the overall development objectives, and priorities, as well as its mission and vision. The section also gives an overview of the conceptual underpinnings for the sustainable economic development of the State outlined in the </w:t>
      </w:r>
      <w:r>
        <w:rPr>
          <w:rFonts w:ascii="Tahoma" w:cs="Tahoma" w:hAnsi="Tahoma"/>
          <w:bCs/>
          <w:sz w:val="24"/>
          <w:szCs w:val="24"/>
        </w:rPr>
        <w:t>Kano</w:t>
      </w:r>
      <w:r>
        <w:rPr>
          <w:rFonts w:ascii="Tahoma" w:cs="Tahoma" w:hAnsi="Tahoma"/>
          <w:bCs/>
          <w:sz w:val="24"/>
          <w:szCs w:val="24"/>
        </w:rPr>
        <w:t xml:space="preserve"> State CDF.</w:t>
      </w: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p>
    <w:bookmarkStart w:id="2" w:name="_Toc116071685"/>
    <w:p>
      <w:pPr>
        <w:pStyle w:val="style1"/>
        <w:spacing w:before="0" w:lineRule="auto" w:line="360"/>
        <w:rPr>
          <w:rFonts w:ascii="Tahoma" w:cs="Tahoma" w:hAnsi="Tahoma"/>
          <w:b/>
          <w:bCs/>
          <w:color w:val="0070c0"/>
          <w:sz w:val="24"/>
          <w:szCs w:val="24"/>
        </w:rPr>
      </w:pPr>
      <w:r>
        <w:rPr>
          <w:rFonts w:ascii="Tahoma" w:cs="Tahoma" w:hAnsi="Tahoma"/>
          <w:b/>
          <w:bCs/>
          <w:color w:val="0070c0"/>
          <w:sz w:val="24"/>
          <w:szCs w:val="24"/>
        </w:rPr>
        <w:t>Chapter 3: The State Revenue, Expenditure, and Public Debt Trends (201</w:t>
      </w:r>
      <w:r>
        <w:rPr>
          <w:rFonts w:ascii="Tahoma" w:cs="Tahoma" w:hAnsi="Tahoma"/>
          <w:b/>
          <w:bCs/>
          <w:color w:val="0070c0"/>
          <w:sz w:val="24"/>
          <w:szCs w:val="24"/>
        </w:rPr>
        <w:t>7</w:t>
      </w:r>
      <w:r>
        <w:rPr>
          <w:rFonts w:ascii="Tahoma" w:cs="Tahoma" w:hAnsi="Tahoma"/>
          <w:b/>
          <w:bCs/>
          <w:color w:val="0070c0"/>
          <w:sz w:val="24"/>
          <w:szCs w:val="24"/>
        </w:rPr>
        <w:t xml:space="preserve"> - 20</w:t>
      </w:r>
      <w:r>
        <w:rPr>
          <w:rFonts w:ascii="Tahoma" w:cs="Tahoma" w:hAnsi="Tahoma"/>
          <w:b/>
          <w:bCs/>
          <w:color w:val="0070c0"/>
          <w:sz w:val="24"/>
          <w:szCs w:val="24"/>
        </w:rPr>
        <w:t>2</w:t>
      </w:r>
      <w:r>
        <w:rPr>
          <w:rFonts w:ascii="Tahoma" w:cs="Tahoma" w:hAnsi="Tahoma"/>
          <w:b/>
          <w:bCs/>
          <w:color w:val="0070c0"/>
          <w:sz w:val="24"/>
          <w:szCs w:val="24"/>
        </w:rPr>
        <w:t>1</w:t>
      </w:r>
      <w:r>
        <w:rPr>
          <w:rFonts w:ascii="Tahoma" w:cs="Tahoma" w:hAnsi="Tahoma"/>
          <w:b/>
          <w:bCs/>
          <w:color w:val="0070c0"/>
          <w:sz w:val="24"/>
          <w:szCs w:val="24"/>
        </w:rPr>
        <w:t>)</w:t>
      </w:r>
      <w:bookmarkEnd w:id="2"/>
    </w:p>
    <w:p>
      <w:pPr>
        <w:pStyle w:val="style0"/>
        <w:spacing w:lineRule="auto" w:line="360"/>
        <w:jc w:val="both"/>
        <w:rPr>
          <w:rFonts w:ascii="Tahoma" w:cs="Tahoma" w:hAnsi="Tahoma"/>
          <w:sz w:val="24"/>
          <w:szCs w:val="24"/>
        </w:rPr>
      </w:pPr>
      <w:r>
        <w:rPr>
          <w:rFonts w:ascii="Tahoma" w:cs="Tahoma" w:hAnsi="Tahoma"/>
          <w:sz w:val="24"/>
          <w:szCs w:val="24"/>
        </w:rPr>
        <w:t>Kano</w:t>
      </w:r>
      <w:r>
        <w:rPr>
          <w:rFonts w:ascii="Tahoma" w:cs="Tahoma" w:hAnsi="Tahoma"/>
          <w:sz w:val="24"/>
          <w:szCs w:val="24"/>
        </w:rPr>
        <w:t xml:space="preserve"> </w:t>
      </w:r>
      <w:r>
        <w:rPr>
          <w:rFonts w:ascii="Tahoma" w:cs="Tahoma" w:hAnsi="Tahoma"/>
          <w:sz w:val="24"/>
          <w:szCs w:val="24"/>
        </w:rPr>
        <w:t>State</w:t>
      </w:r>
      <w:r>
        <w:rPr>
          <w:rFonts w:ascii="Tahoma" w:cs="Tahoma" w:hAnsi="Tahoma"/>
          <w:sz w:val="24"/>
          <w:szCs w:val="24"/>
        </w:rPr>
        <w:t>’s</w:t>
      </w:r>
      <w:r>
        <w:rPr>
          <w:rFonts w:ascii="Tahoma" w:cs="Tahoma" w:hAnsi="Tahoma"/>
          <w:sz w:val="24"/>
          <w:szCs w:val="24"/>
        </w:rPr>
        <w:t xml:space="preserve"> </w:t>
      </w:r>
      <w:r>
        <w:rPr>
          <w:rFonts w:ascii="Tahoma" w:cs="Tahoma" w:hAnsi="Tahoma"/>
          <w:sz w:val="24"/>
          <w:szCs w:val="24"/>
        </w:rPr>
        <w:t>Internall</w:t>
      </w:r>
      <w:r>
        <w:rPr>
          <w:rFonts w:ascii="Tahoma" w:cs="Tahoma" w:hAnsi="Tahoma"/>
          <w:sz w:val="24"/>
          <w:szCs w:val="24"/>
        </w:rPr>
        <w:t xml:space="preserve">y Generate Revenue (IGR) </w:t>
      </w:r>
      <w:r>
        <w:rPr>
          <w:rFonts w:ascii="Tahoma" w:cs="Tahoma" w:hAnsi="Tahoma"/>
          <w:sz w:val="24"/>
          <w:szCs w:val="24"/>
        </w:rPr>
        <w:t xml:space="preserve">amounted to N40,243 million in 2021 compared to N32,092 million in 2020, representing an increase of N8,152 million or 25.40 percent. </w:t>
      </w:r>
    </w:p>
    <w:p>
      <w:pPr>
        <w:pStyle w:val="style0"/>
        <w:spacing w:after="0" w:lineRule="auto" w:line="360"/>
        <w:ind w:left="567" w:hanging="567"/>
        <w:jc w:val="both"/>
        <w:rPr>
          <w:rFonts w:ascii="Tahoma" w:cs="Tahoma" w:hAnsi="Tahoma"/>
          <w:b/>
          <w:iCs/>
          <w:sz w:val="24"/>
          <w:szCs w:val="24"/>
        </w:rPr>
      </w:pPr>
      <w:r>
        <w:rPr>
          <w:rFonts w:ascii="Tahoma" w:cs="Tahoma" w:hAnsi="Tahoma"/>
          <w:b/>
          <w:iCs/>
          <w:sz w:val="24"/>
          <w:szCs w:val="24"/>
        </w:rPr>
        <w:t>3.1</w:t>
      </w:r>
      <w:r>
        <w:rPr>
          <w:rFonts w:ascii="Tahoma" w:cs="Tahoma" w:hAnsi="Tahoma"/>
          <w:b/>
          <w:iCs/>
          <w:sz w:val="24"/>
          <w:szCs w:val="24"/>
        </w:rPr>
        <w:tab/>
      </w:r>
      <w:r>
        <w:rPr>
          <w:rFonts w:ascii="Tahoma" w:cs="Tahoma" w:hAnsi="Tahoma"/>
          <w:b/>
          <w:iCs/>
          <w:sz w:val="24"/>
          <w:szCs w:val="24"/>
        </w:rPr>
        <w:t>Revenue and Expenditure</w:t>
      </w:r>
    </w:p>
    <w:p>
      <w:pPr>
        <w:pStyle w:val="style0"/>
        <w:spacing w:lineRule="auto" w:line="360"/>
        <w:jc w:val="both"/>
        <w:rPr>
          <w:rFonts w:ascii="Tahoma" w:cs="Tahoma" w:hAnsi="Tahoma"/>
          <w:bCs/>
          <w:iCs/>
          <w:sz w:val="24"/>
          <w:szCs w:val="24"/>
        </w:rPr>
      </w:pPr>
      <w:r>
        <w:rPr>
          <w:rFonts w:ascii="Tahoma" w:cs="Tahoma" w:hAnsi="Tahoma"/>
          <w:b/>
          <w:iCs/>
          <w:sz w:val="24"/>
          <w:szCs w:val="24"/>
        </w:rPr>
        <w:t xml:space="preserve">Revenue - </w:t>
      </w:r>
      <w:r>
        <w:rPr>
          <w:rFonts w:ascii="Tahoma" w:cs="Tahoma" w:hAnsi="Tahoma"/>
          <w:bCs/>
          <w:iCs/>
          <w:sz w:val="24"/>
          <w:szCs w:val="24"/>
        </w:rPr>
        <w:t xml:space="preserve">The State’s economy comprises Statutory Allocation, Derivation, VAT Allocation, IGR, and Capital Receipt. the State’s Revenue amounted to </w:t>
      </w:r>
      <w:r>
        <w:rPr>
          <w:rFonts w:ascii="Tahoma" w:cs="Tahoma" w:hAnsi="Tahoma"/>
          <w:bCs/>
          <w:iCs/>
          <w:sz w:val="24"/>
          <w:szCs w:val="24"/>
        </w:rPr>
        <w:t>N1</w:t>
      </w:r>
      <w:r>
        <w:rPr>
          <w:rFonts w:ascii="Tahoma" w:cs="Tahoma" w:hAnsi="Tahoma"/>
          <w:bCs/>
          <w:iCs/>
          <w:sz w:val="24"/>
          <w:szCs w:val="24"/>
        </w:rPr>
        <w:t>62,529</w:t>
      </w:r>
      <w:r>
        <w:rPr>
          <w:rFonts w:ascii="Tahoma" w:cs="Tahoma" w:hAnsi="Tahoma"/>
          <w:bCs/>
          <w:iCs/>
          <w:sz w:val="24"/>
          <w:szCs w:val="24"/>
        </w:rPr>
        <w:t xml:space="preserve"> million in 2021, </w:t>
      </w:r>
      <w:r>
        <w:rPr>
          <w:rFonts w:ascii="Tahoma" w:cs="Tahoma" w:hAnsi="Tahoma"/>
          <w:bCs/>
          <w:iCs/>
          <w:sz w:val="24"/>
          <w:szCs w:val="24"/>
        </w:rPr>
        <w:t>N</w:t>
      </w:r>
      <w:r>
        <w:rPr>
          <w:rFonts w:ascii="Tahoma" w:cs="Tahoma" w:hAnsi="Tahoma"/>
          <w:bCs/>
          <w:iCs/>
          <w:sz w:val="24"/>
          <w:szCs w:val="24"/>
        </w:rPr>
        <w:t xml:space="preserve">141,735 </w:t>
      </w:r>
      <w:r>
        <w:rPr>
          <w:rFonts w:ascii="Tahoma" w:cs="Tahoma" w:hAnsi="Tahoma"/>
          <w:bCs/>
          <w:iCs/>
          <w:sz w:val="24"/>
          <w:szCs w:val="24"/>
        </w:rPr>
        <w:t xml:space="preserve">million </w:t>
      </w:r>
      <w:r>
        <w:rPr>
          <w:rFonts w:ascii="Tahoma" w:cs="Tahoma" w:hAnsi="Tahoma"/>
          <w:bCs/>
          <w:iCs/>
          <w:sz w:val="24"/>
          <w:szCs w:val="24"/>
        </w:rPr>
        <w:t xml:space="preserve">in </w:t>
      </w:r>
      <w:r>
        <w:rPr>
          <w:rFonts w:ascii="Tahoma" w:cs="Tahoma" w:hAnsi="Tahoma"/>
          <w:bCs/>
          <w:iCs/>
          <w:sz w:val="24"/>
          <w:szCs w:val="24"/>
        </w:rPr>
        <w:t>20</w:t>
      </w:r>
      <w:r>
        <w:rPr>
          <w:rFonts w:ascii="Tahoma" w:cs="Tahoma" w:hAnsi="Tahoma"/>
          <w:bCs/>
          <w:iCs/>
          <w:sz w:val="24"/>
          <w:szCs w:val="24"/>
        </w:rPr>
        <w:t>20</w:t>
      </w:r>
      <w:r>
        <w:rPr>
          <w:rFonts w:ascii="Tahoma" w:cs="Tahoma" w:hAnsi="Tahoma"/>
          <w:bCs/>
          <w:iCs/>
          <w:sz w:val="24"/>
          <w:szCs w:val="24"/>
        </w:rPr>
        <w:t xml:space="preserve">, </w:t>
      </w:r>
      <w:r>
        <w:rPr>
          <w:rFonts w:ascii="Tahoma" w:cs="Tahoma" w:hAnsi="Tahoma"/>
          <w:bCs/>
          <w:iCs/>
          <w:sz w:val="24"/>
          <w:szCs w:val="24"/>
        </w:rPr>
        <w:t xml:space="preserve">N152,810 million in 2019, N134,746 million in 2018, </w:t>
      </w:r>
      <w:r>
        <w:rPr>
          <w:rFonts w:ascii="Tahoma" w:cs="Tahoma" w:hAnsi="Tahoma"/>
          <w:bCs/>
          <w:iCs/>
          <w:sz w:val="24"/>
          <w:szCs w:val="24"/>
        </w:rPr>
        <w:t xml:space="preserve">and </w:t>
      </w:r>
      <w:r>
        <w:rPr>
          <w:rFonts w:ascii="Tahoma" w:cs="Tahoma" w:hAnsi="Tahoma"/>
          <w:bCs/>
          <w:iCs/>
          <w:sz w:val="24"/>
          <w:szCs w:val="24"/>
        </w:rPr>
        <w:t>N120,489 million in 2017 respectively</w:t>
      </w:r>
      <w:r>
        <w:rPr>
          <w:rFonts w:ascii="Tahoma" w:cs="Tahoma" w:hAnsi="Tahoma"/>
          <w:bCs/>
          <w:iCs/>
          <w:sz w:val="24"/>
          <w:szCs w:val="24"/>
        </w:rPr>
        <w:t xml:space="preserve">, </w:t>
      </w:r>
      <w:r>
        <w:rPr>
          <w:rFonts w:ascii="Tahoma" w:cs="Tahoma" w:hAnsi="Tahoma"/>
          <w:bCs/>
          <w:iCs/>
          <w:sz w:val="24"/>
          <w:szCs w:val="24"/>
        </w:rPr>
        <w:t>the de</w:t>
      </w:r>
      <w:r>
        <w:rPr>
          <w:rFonts w:ascii="Tahoma" w:cs="Tahoma" w:hAnsi="Tahoma"/>
          <w:bCs/>
          <w:iCs/>
          <w:sz w:val="24"/>
          <w:szCs w:val="24"/>
        </w:rPr>
        <w:t>c</w:t>
      </w:r>
      <w:r>
        <w:rPr>
          <w:rFonts w:ascii="Tahoma" w:cs="Tahoma" w:hAnsi="Tahoma"/>
          <w:bCs/>
          <w:iCs/>
          <w:sz w:val="24"/>
          <w:szCs w:val="24"/>
        </w:rPr>
        <w:t xml:space="preserve">lined in 2020 was as a result of </w:t>
      </w:r>
      <w:r>
        <w:rPr>
          <w:rFonts w:ascii="Tahoma" w:cs="Tahoma" w:hAnsi="Tahoma"/>
          <w:bCs/>
          <w:iCs/>
          <w:sz w:val="24"/>
          <w:szCs w:val="24"/>
        </w:rPr>
        <w:t>COVID-19 pandemic</w:t>
      </w:r>
      <w:r>
        <w:rPr>
          <w:rFonts w:ascii="Tahoma" w:cs="Tahoma" w:hAnsi="Tahoma"/>
          <w:bCs/>
          <w:iCs/>
          <w:sz w:val="24"/>
          <w:szCs w:val="24"/>
        </w:rPr>
        <w:t xml:space="preserve"> </w:t>
      </w:r>
      <w:r>
        <w:rPr>
          <w:rFonts w:ascii="Tahoma" w:cs="Tahoma" w:hAnsi="Tahoma"/>
          <w:bCs/>
          <w:iCs/>
          <w:sz w:val="24"/>
          <w:szCs w:val="24"/>
        </w:rPr>
        <w:t>shutdown of economic activities, as well as revenue accrued to the to</w:t>
      </w:r>
      <w:r>
        <w:rPr>
          <w:rFonts w:ascii="Tahoma" w:cs="Tahoma" w:hAnsi="Tahoma"/>
          <w:bCs/>
          <w:iCs/>
          <w:sz w:val="24"/>
          <w:szCs w:val="24"/>
        </w:rPr>
        <w:t xml:space="preserve"> the State</w:t>
      </w:r>
      <w:r>
        <w:rPr>
          <w:rFonts w:ascii="Tahoma" w:cs="Tahoma" w:hAnsi="Tahoma"/>
          <w:bCs/>
          <w:iCs/>
          <w:sz w:val="24"/>
          <w:szCs w:val="24"/>
        </w:rPr>
        <w:t>.</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Gross FAAC Allocation:</w:t>
      </w:r>
      <w:r>
        <w:rPr>
          <w:rFonts w:ascii="Tahoma" w:cs="Tahoma" w:hAnsi="Tahoma"/>
          <w:bCs/>
          <w:iCs/>
          <w:color w:val="00b050"/>
          <w:sz w:val="24"/>
          <w:szCs w:val="24"/>
        </w:rPr>
        <w:t xml:space="preserve"> </w:t>
      </w:r>
      <w:r>
        <w:rPr>
          <w:rFonts w:ascii="Tahoma" w:cs="Tahoma" w:hAnsi="Tahoma"/>
          <w:bCs/>
          <w:iCs/>
          <w:sz w:val="24"/>
          <w:szCs w:val="24"/>
        </w:rPr>
        <w:t>Kano</w:t>
      </w:r>
      <w:r>
        <w:rPr>
          <w:rFonts w:ascii="Tahoma" w:cs="Tahoma" w:hAnsi="Tahoma"/>
          <w:bCs/>
          <w:iCs/>
          <w:sz w:val="24"/>
          <w:szCs w:val="24"/>
        </w:rPr>
        <w:t xml:space="preserve"> recorded a declined in the review period relative to the preceding year, as the FAAC Allocations</w:t>
      </w:r>
      <w:r>
        <w:rPr>
          <w:rFonts w:ascii="Tahoma" w:cs="Tahoma" w:hAnsi="Tahoma"/>
          <w:bCs/>
          <w:iCs/>
          <w:sz w:val="24"/>
          <w:szCs w:val="24"/>
        </w:rPr>
        <w:t xml:space="preserve"> stood at </w:t>
      </w:r>
      <w:r>
        <w:rPr>
          <w:rFonts w:ascii="Tahoma" w:cs="Tahoma" w:hAnsi="Tahoma"/>
          <w:bCs/>
          <w:iCs/>
          <w:sz w:val="24"/>
          <w:szCs w:val="24"/>
        </w:rPr>
        <w:t>N78,069 million in 2017, N90,179 million in 2019, and N84,666 million in 2021</w:t>
      </w:r>
      <w:r>
        <w:rPr>
          <w:rFonts w:ascii="Tahoma" w:cs="Tahoma" w:hAnsi="Tahoma"/>
          <w:bCs/>
          <w:iCs/>
          <w:sz w:val="24"/>
          <w:szCs w:val="24"/>
        </w:rPr>
        <w:t xml:space="preserve">, </w:t>
      </w:r>
      <w:r>
        <w:rPr>
          <w:rFonts w:ascii="Tahoma" w:cs="Tahoma" w:hAnsi="Tahoma"/>
          <w:bCs/>
          <w:iCs/>
          <w:sz w:val="24"/>
          <w:szCs w:val="24"/>
        </w:rPr>
        <w:t>re</w:t>
      </w:r>
      <w:r>
        <w:rPr>
          <w:rFonts w:ascii="Tahoma" w:cs="Tahoma" w:hAnsi="Tahoma"/>
          <w:bCs/>
          <w:iCs/>
          <w:sz w:val="24"/>
          <w:szCs w:val="24"/>
        </w:rPr>
        <w:t>spectively</w:t>
      </w:r>
      <w:r>
        <w:rPr>
          <w:rFonts w:ascii="Tahoma" w:cs="Tahoma" w:hAnsi="Tahoma"/>
          <w:bCs/>
          <w:iCs/>
          <w:sz w:val="24"/>
          <w:szCs w:val="24"/>
        </w:rPr>
        <w:t>.</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Internally Generated Revenue:</w:t>
      </w:r>
      <w:r>
        <w:rPr>
          <w:rFonts w:ascii="Tahoma" w:cs="Tahoma" w:hAnsi="Tahoma"/>
          <w:bCs/>
          <w:iCs/>
          <w:color w:val="0070c0"/>
          <w:sz w:val="24"/>
          <w:szCs w:val="24"/>
        </w:rPr>
        <w:t xml:space="preserve"> </w:t>
      </w:r>
      <w:r>
        <w:rPr>
          <w:rFonts w:ascii="Tahoma" w:cs="Tahoma" w:hAnsi="Tahoma"/>
          <w:bCs/>
          <w:iCs/>
          <w:sz w:val="24"/>
          <w:szCs w:val="24"/>
        </w:rPr>
        <w:t>Kano</w:t>
      </w:r>
      <w:r>
        <w:rPr>
          <w:rFonts w:ascii="Tahoma" w:cs="Tahoma" w:hAnsi="Tahoma"/>
          <w:bCs/>
          <w:iCs/>
          <w:sz w:val="24"/>
          <w:szCs w:val="24"/>
        </w:rPr>
        <w:t xml:space="preserve"> State IGR</w:t>
      </w:r>
      <w:r>
        <w:rPr>
          <w:rFonts w:ascii="Tahoma" w:cs="Tahoma" w:hAnsi="Tahoma"/>
          <w:bCs/>
          <w:iCs/>
          <w:sz w:val="24"/>
          <w:szCs w:val="24"/>
        </w:rPr>
        <w:t xml:space="preserve"> was recorded at N42,420 million in 2017, N44,107 million in 2018, N31,795 million in 2019</w:t>
      </w:r>
      <w:r>
        <w:rPr>
          <w:rFonts w:ascii="Tahoma" w:cs="Tahoma" w:hAnsi="Tahoma"/>
          <w:bCs/>
          <w:iCs/>
          <w:sz w:val="24"/>
          <w:szCs w:val="24"/>
        </w:rPr>
        <w:t xml:space="preserve">, </w:t>
      </w:r>
      <w:r>
        <w:rPr>
          <w:rFonts w:ascii="Tahoma" w:cs="Tahoma" w:hAnsi="Tahoma"/>
          <w:bCs/>
          <w:iCs/>
          <w:sz w:val="24"/>
          <w:szCs w:val="24"/>
        </w:rPr>
        <w:t>N32,092 million in 2020</w:t>
      </w:r>
      <w:r>
        <w:rPr>
          <w:rFonts w:ascii="Tahoma" w:cs="Tahoma" w:hAnsi="Tahoma"/>
          <w:bCs/>
          <w:iCs/>
          <w:sz w:val="24"/>
          <w:szCs w:val="24"/>
        </w:rPr>
        <w:t xml:space="preserve"> and N40,243 million in 2021,</w:t>
      </w:r>
      <w:r>
        <w:rPr>
          <w:rFonts w:ascii="Tahoma" w:cs="Tahoma" w:hAnsi="Tahoma"/>
          <w:bCs/>
          <w:iCs/>
          <w:sz w:val="24"/>
          <w:szCs w:val="24"/>
        </w:rPr>
        <w:t xml:space="preserve"> respectively</w:t>
      </w:r>
      <w:r>
        <w:rPr>
          <w:rFonts w:ascii="Tahoma" w:cs="Tahoma" w:hAnsi="Tahoma"/>
          <w:bCs/>
          <w:iCs/>
          <w:sz w:val="24"/>
          <w:szCs w:val="24"/>
        </w:rPr>
        <w:t xml:space="preserve">. </w:t>
      </w:r>
      <w:r>
        <w:rPr>
          <w:rFonts w:ascii="Tahoma" w:cs="Tahoma" w:hAnsi="Tahoma"/>
          <w:bCs/>
          <w:iCs/>
          <w:sz w:val="24"/>
          <w:szCs w:val="24"/>
        </w:rPr>
        <w:t>The improvement in IGR before pandemic is mainly due to the tax reforms aimed at improving collection efficiency and broadening the tax revenue base.</w:t>
      </w:r>
    </w:p>
    <w:tbl>
      <w:tblPr>
        <w:tblW w:w="92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53"/>
        <w:gridCol w:w="1069"/>
        <w:gridCol w:w="1069"/>
        <w:gridCol w:w="1069"/>
        <w:gridCol w:w="1107"/>
        <w:gridCol w:w="1069"/>
      </w:tblGrid>
      <w:tr>
        <w:trPr>
          <w:trHeight w:val="276" w:hRule="atLeast"/>
        </w:trPr>
        <w:tc>
          <w:tcPr>
            <w:tcW w:w="3853" w:type="dxa"/>
            <w:tcBorders/>
            <w:shd w:val="clear" w:color="auto" w:fill="92d050"/>
            <w:noWrap/>
            <w:vAlign w:val="bottom"/>
            <w:hideMark/>
          </w:tcPr>
          <w:p>
            <w:pPr>
              <w:pStyle w:val="style0"/>
              <w:spacing w:after="0" w:lineRule="auto" w:line="240"/>
              <w:rPr>
                <w:rFonts w:cs="Calibri" w:eastAsia="Times New Roman"/>
                <w:b/>
                <w:bCs/>
                <w:sz w:val="20"/>
                <w:szCs w:val="20"/>
              </w:rPr>
            </w:pPr>
            <w:r>
              <w:rPr>
                <w:rFonts w:cs="Calibri" w:eastAsia="Times New Roman"/>
                <w:b/>
                <w:bCs/>
                <w:sz w:val="20"/>
                <w:szCs w:val="20"/>
              </w:rPr>
              <w:t>Revenue</w:t>
            </w:r>
          </w:p>
        </w:tc>
        <w:tc>
          <w:tcPr>
            <w:tcW w:w="106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2017</w:t>
            </w:r>
          </w:p>
        </w:tc>
        <w:tc>
          <w:tcPr>
            <w:tcW w:w="106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2018</w:t>
            </w:r>
          </w:p>
        </w:tc>
        <w:tc>
          <w:tcPr>
            <w:tcW w:w="106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2019</w:t>
            </w:r>
          </w:p>
        </w:tc>
        <w:tc>
          <w:tcPr>
            <w:tcW w:w="1107"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2020</w:t>
            </w:r>
          </w:p>
        </w:tc>
        <w:tc>
          <w:tcPr>
            <w:tcW w:w="106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2021</w:t>
            </w:r>
          </w:p>
        </w:tc>
      </w:tr>
      <w:tr>
        <w:tblPrEx/>
        <w:trPr>
          <w:trHeight w:val="276" w:hRule="atLeast"/>
        </w:trPr>
        <w:tc>
          <w:tcPr>
            <w:tcW w:w="3853"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Total Revenue</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120,489</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134,746</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152,810</w:t>
            </w:r>
          </w:p>
        </w:tc>
        <w:tc>
          <w:tcPr>
            <w:tcW w:w="1107" w:type="dxa"/>
            <w:tcBorders/>
            <w:shd w:val="clear" w:color="auto" w:fill="auto"/>
            <w:noWrap/>
            <w:hideMark/>
          </w:tcPr>
          <w:p>
            <w:pPr>
              <w:pStyle w:val="style0"/>
              <w:spacing w:after="0" w:lineRule="auto" w:line="240"/>
              <w:jc w:val="right"/>
              <w:rPr>
                <w:rFonts w:cs="Calibri" w:eastAsia="Times New Roman"/>
                <w:color w:val="000000"/>
                <w:sz w:val="20"/>
                <w:szCs w:val="20"/>
              </w:rPr>
            </w:pPr>
            <w:r>
              <w:t>141,735</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162,529</w:t>
            </w:r>
          </w:p>
        </w:tc>
      </w:tr>
      <w:tr>
        <w:tblPrEx/>
        <w:trPr>
          <w:trHeight w:val="276" w:hRule="atLeast"/>
        </w:trPr>
        <w:tc>
          <w:tcPr>
            <w:tcW w:w="3853"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Gross FAAC Allocation</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78,069</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90,639</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90,179</w:t>
            </w:r>
          </w:p>
        </w:tc>
        <w:tc>
          <w:tcPr>
            <w:tcW w:w="1107" w:type="dxa"/>
            <w:tcBorders/>
            <w:shd w:val="clear" w:color="auto" w:fill="auto"/>
            <w:noWrap/>
            <w:hideMark/>
          </w:tcPr>
          <w:p>
            <w:pPr>
              <w:pStyle w:val="style0"/>
              <w:spacing w:after="0" w:lineRule="auto" w:line="240"/>
              <w:jc w:val="right"/>
              <w:rPr>
                <w:rFonts w:cs="Calibri" w:eastAsia="Times New Roman"/>
                <w:color w:val="000000"/>
                <w:sz w:val="20"/>
                <w:szCs w:val="20"/>
              </w:rPr>
            </w:pPr>
            <w:r>
              <w:t>86,043</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84,666</w:t>
            </w:r>
          </w:p>
        </w:tc>
      </w:tr>
      <w:tr>
        <w:tblPrEx/>
        <w:trPr>
          <w:trHeight w:val="276" w:hRule="atLeast"/>
        </w:trPr>
        <w:tc>
          <w:tcPr>
            <w:tcW w:w="3853"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 xml:space="preserve">IGR </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42,420</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44,107</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31,795</w:t>
            </w:r>
          </w:p>
        </w:tc>
        <w:tc>
          <w:tcPr>
            <w:tcW w:w="1107" w:type="dxa"/>
            <w:tcBorders/>
            <w:shd w:val="clear" w:color="auto" w:fill="auto"/>
            <w:noWrap/>
            <w:hideMark/>
          </w:tcPr>
          <w:p>
            <w:pPr>
              <w:pStyle w:val="style0"/>
              <w:spacing w:after="0" w:lineRule="auto" w:line="240"/>
              <w:jc w:val="right"/>
              <w:rPr>
                <w:rFonts w:cs="Calibri" w:eastAsia="Times New Roman"/>
                <w:color w:val="000000"/>
                <w:sz w:val="20"/>
                <w:szCs w:val="20"/>
              </w:rPr>
            </w:pPr>
            <w:r>
              <w:t>32,092</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40,243</w:t>
            </w:r>
          </w:p>
        </w:tc>
      </w:tr>
      <w:tr>
        <w:tblPrEx/>
        <w:trPr>
          <w:trHeight w:val="276" w:hRule="atLeast"/>
        </w:trPr>
        <w:tc>
          <w:tcPr>
            <w:tcW w:w="3853"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Grants</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0</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0</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30,836</w:t>
            </w:r>
          </w:p>
        </w:tc>
        <w:tc>
          <w:tcPr>
            <w:tcW w:w="1107" w:type="dxa"/>
            <w:tcBorders/>
            <w:shd w:val="clear" w:color="auto" w:fill="auto"/>
            <w:noWrap/>
            <w:hideMark/>
          </w:tcPr>
          <w:p>
            <w:pPr>
              <w:pStyle w:val="style0"/>
              <w:spacing w:after="0" w:lineRule="auto" w:line="240"/>
              <w:jc w:val="right"/>
              <w:rPr>
                <w:rFonts w:cs="Calibri" w:eastAsia="Times New Roman"/>
                <w:color w:val="000000"/>
                <w:sz w:val="20"/>
                <w:szCs w:val="20"/>
              </w:rPr>
            </w:pPr>
            <w:r>
              <w:t>23,600</w:t>
            </w:r>
          </w:p>
        </w:tc>
        <w:tc>
          <w:tcPr>
            <w:tcW w:w="1069" w:type="dxa"/>
            <w:tcBorders/>
            <w:shd w:val="clear" w:color="auto" w:fill="auto"/>
            <w:noWrap/>
            <w:hideMark/>
          </w:tcPr>
          <w:p>
            <w:pPr>
              <w:pStyle w:val="style0"/>
              <w:spacing w:after="0" w:lineRule="auto" w:line="240"/>
              <w:jc w:val="right"/>
              <w:rPr>
                <w:rFonts w:cs="Calibri" w:eastAsia="Times New Roman"/>
                <w:color w:val="000000"/>
                <w:sz w:val="20"/>
                <w:szCs w:val="20"/>
              </w:rPr>
            </w:pPr>
            <w:r>
              <w:t>37,620</w:t>
            </w:r>
          </w:p>
        </w:tc>
      </w:tr>
    </w:tbl>
    <w:p>
      <w:pPr>
        <w:pStyle w:val="style179"/>
        <w:spacing w:lineRule="auto" w:line="360"/>
        <w:ind w:left="360"/>
        <w:jc w:val="both"/>
        <w:rPr>
          <w:rFonts w:ascii="Tahoma" w:cs="Tahoma" w:hAnsi="Tahoma"/>
          <w:bCs/>
          <w:iCs/>
          <w:sz w:val="24"/>
          <w:szCs w:val="24"/>
        </w:rPr>
      </w:pPr>
    </w:p>
    <w:p>
      <w:pPr>
        <w:pStyle w:val="style179"/>
        <w:spacing w:lineRule="auto" w:line="360"/>
        <w:ind w:left="0"/>
        <w:jc w:val="both"/>
        <w:rPr>
          <w:rFonts w:ascii="Tahoma" w:cs="Tahoma" w:hAnsi="Tahoma"/>
          <w:bCs/>
          <w:iCs/>
          <w:sz w:val="24"/>
          <w:szCs w:val="24"/>
        </w:rPr>
      </w:pPr>
      <w:r>
        <w:rPr>
          <w:noProof/>
          <w:lang w:eastAsia="en-US"/>
        </w:rPr>
        <w:drawing>
          <wp:inline distL="0" distT="0" distB="0" distR="0">
            <wp:extent cx="5905500" cy="3086100"/>
            <wp:effectExtent l="0" t="0" r="0" b="0"/>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5905500" cy="3086100"/>
                    </a:xfrm>
                    <a:prstGeom prst="rect"/>
                    <a:ln>
                      <a:noFill/>
                    </a:ln>
                  </pic:spPr>
                </pic:pic>
              </a:graphicData>
            </a:graphic>
          </wp:inline>
        </w:drawing>
      </w:r>
    </w:p>
    <w:p>
      <w:pPr>
        <w:pStyle w:val="style0"/>
        <w:spacing w:lineRule="auto" w:line="360"/>
        <w:jc w:val="both"/>
        <w:rPr>
          <w:rFonts w:ascii="Tahoma" w:cs="Tahoma" w:hAnsi="Tahoma"/>
          <w:bCs/>
          <w:iCs/>
          <w:sz w:val="24"/>
          <w:szCs w:val="24"/>
        </w:rPr>
      </w:pPr>
      <w:r>
        <w:rPr>
          <w:rFonts w:ascii="Tahoma" w:cs="Tahoma" w:hAnsi="Tahoma"/>
          <w:b/>
          <w:iCs/>
          <w:sz w:val="24"/>
          <w:szCs w:val="24"/>
        </w:rPr>
        <w:t>Expenditure</w:t>
      </w:r>
      <w:r>
        <w:rPr>
          <w:rFonts w:ascii="Tahoma" w:cs="Tahoma" w:hAnsi="Tahoma"/>
          <w:bCs/>
          <w:iCs/>
          <w:sz w:val="24"/>
          <w:szCs w:val="24"/>
        </w:rPr>
        <w:t xml:space="preserve">- The State’s Total expenditure covers Capital expenditure, Personnel costs, Overhead costs, other recurrent expenditure, and Debt service (interest payment and principal repayment) recorded </w:t>
      </w:r>
      <w:r>
        <w:rPr>
          <w:rFonts w:ascii="Tahoma" w:cs="Tahoma" w:hAnsi="Tahoma"/>
          <w:bCs/>
          <w:iCs/>
          <w:sz w:val="24"/>
          <w:szCs w:val="24"/>
        </w:rPr>
        <w:t xml:space="preserve">at </w:t>
      </w:r>
      <w:r>
        <w:rPr>
          <w:rFonts w:ascii="Tahoma" w:cs="Tahoma" w:hAnsi="Tahoma"/>
          <w:bCs/>
          <w:iCs/>
          <w:sz w:val="24"/>
          <w:szCs w:val="24"/>
        </w:rPr>
        <w:t>N1</w:t>
      </w:r>
      <w:r>
        <w:rPr>
          <w:rFonts w:ascii="Tahoma" w:cs="Tahoma" w:hAnsi="Tahoma"/>
          <w:bCs/>
          <w:iCs/>
          <w:sz w:val="24"/>
          <w:szCs w:val="24"/>
        </w:rPr>
        <w:t>79,404</w:t>
      </w:r>
      <w:r>
        <w:rPr>
          <w:rFonts w:ascii="Tahoma" w:cs="Tahoma" w:hAnsi="Tahoma"/>
          <w:bCs/>
          <w:iCs/>
          <w:sz w:val="24"/>
          <w:szCs w:val="24"/>
        </w:rPr>
        <w:t xml:space="preserve"> million in 2021, </w:t>
      </w:r>
      <w:r>
        <w:rPr>
          <w:rFonts w:ascii="Tahoma" w:cs="Tahoma" w:hAnsi="Tahoma"/>
          <w:bCs/>
          <w:iCs/>
          <w:sz w:val="24"/>
          <w:szCs w:val="24"/>
        </w:rPr>
        <w:t>N</w:t>
      </w:r>
      <w:r>
        <w:rPr>
          <w:rFonts w:ascii="Tahoma" w:cs="Tahoma" w:hAnsi="Tahoma"/>
          <w:bCs/>
          <w:iCs/>
          <w:sz w:val="24"/>
          <w:szCs w:val="24"/>
        </w:rPr>
        <w:t>17</w:t>
      </w:r>
      <w:r>
        <w:rPr>
          <w:rFonts w:ascii="Tahoma" w:cs="Tahoma" w:hAnsi="Tahoma"/>
          <w:bCs/>
          <w:iCs/>
          <w:sz w:val="24"/>
          <w:szCs w:val="24"/>
        </w:rPr>
        <w:t>8</w:t>
      </w:r>
      <w:r>
        <w:rPr>
          <w:rFonts w:ascii="Tahoma" w:cs="Tahoma" w:hAnsi="Tahoma"/>
          <w:bCs/>
          <w:iCs/>
          <w:sz w:val="24"/>
          <w:szCs w:val="24"/>
        </w:rPr>
        <w:t>,</w:t>
      </w:r>
      <w:r>
        <w:rPr>
          <w:rFonts w:ascii="Tahoma" w:cs="Tahoma" w:hAnsi="Tahoma"/>
          <w:bCs/>
          <w:iCs/>
          <w:sz w:val="24"/>
          <w:szCs w:val="24"/>
        </w:rPr>
        <w:t xml:space="preserve">379 in </w:t>
      </w:r>
      <w:r>
        <w:rPr>
          <w:rFonts w:ascii="Tahoma" w:cs="Tahoma" w:hAnsi="Tahoma"/>
          <w:bCs/>
          <w:iCs/>
          <w:sz w:val="24"/>
          <w:szCs w:val="24"/>
        </w:rPr>
        <w:t>20</w:t>
      </w:r>
      <w:r>
        <w:rPr>
          <w:rFonts w:ascii="Tahoma" w:cs="Tahoma" w:hAnsi="Tahoma"/>
          <w:bCs/>
          <w:iCs/>
          <w:sz w:val="24"/>
          <w:szCs w:val="24"/>
        </w:rPr>
        <w:t>20</w:t>
      </w:r>
      <w:r>
        <w:rPr>
          <w:rFonts w:ascii="Tahoma" w:cs="Tahoma" w:hAnsi="Tahoma"/>
          <w:bCs/>
          <w:iCs/>
          <w:sz w:val="24"/>
          <w:szCs w:val="24"/>
        </w:rPr>
        <w:t>, N169,319 million in 2019, N168,6111 million in 2018, and N</w:t>
      </w:r>
      <w:r>
        <w:rPr>
          <w:rFonts w:ascii="Tahoma" w:cs="Tahoma" w:hAnsi="Tahoma"/>
          <w:bCs/>
          <w:iCs/>
          <w:sz w:val="24"/>
          <w:szCs w:val="24"/>
        </w:rPr>
        <w:t xml:space="preserve">183,144 million in 2017, </w:t>
      </w:r>
      <w:r>
        <w:rPr>
          <w:rFonts w:ascii="Tahoma" w:cs="Tahoma" w:hAnsi="Tahoma"/>
          <w:bCs/>
          <w:iCs/>
          <w:sz w:val="24"/>
          <w:szCs w:val="24"/>
        </w:rPr>
        <w:t>respectively</w:t>
      </w:r>
      <w:r>
        <w:rPr>
          <w:rFonts w:ascii="Tahoma" w:cs="Tahoma" w:hAnsi="Tahoma"/>
          <w:bCs/>
          <w:iCs/>
          <w:sz w:val="24"/>
          <w:szCs w:val="24"/>
        </w:rPr>
        <w:t>. Chart1 to 3 shows the trend of Revenue, Expenditure and Fiscal Outturns from 201</w:t>
      </w:r>
      <w:r>
        <w:rPr>
          <w:rFonts w:ascii="Tahoma" w:cs="Tahoma" w:hAnsi="Tahoma"/>
          <w:bCs/>
          <w:iCs/>
          <w:sz w:val="24"/>
          <w:szCs w:val="24"/>
        </w:rPr>
        <w:t>7</w:t>
      </w:r>
      <w:r>
        <w:rPr>
          <w:rFonts w:ascii="Tahoma" w:cs="Tahoma" w:hAnsi="Tahoma"/>
          <w:bCs/>
          <w:iCs/>
          <w:sz w:val="24"/>
          <w:szCs w:val="24"/>
        </w:rPr>
        <w:t xml:space="preserve"> and 20</w:t>
      </w:r>
      <w:r>
        <w:rPr>
          <w:rFonts w:ascii="Tahoma" w:cs="Tahoma" w:hAnsi="Tahoma"/>
          <w:bCs/>
          <w:iCs/>
          <w:sz w:val="24"/>
          <w:szCs w:val="24"/>
        </w:rPr>
        <w:t>2</w:t>
      </w:r>
      <w:r>
        <w:rPr>
          <w:rFonts w:ascii="Tahoma" w:cs="Tahoma" w:hAnsi="Tahoma"/>
          <w:bCs/>
          <w:iCs/>
          <w:sz w:val="24"/>
          <w:szCs w:val="24"/>
        </w:rPr>
        <w:t>1</w:t>
      </w:r>
      <w:r>
        <w:rPr>
          <w:rFonts w:ascii="Tahoma" w:cs="Tahoma" w:hAnsi="Tahoma"/>
          <w:bCs/>
          <w:iCs/>
          <w:sz w:val="24"/>
          <w:szCs w:val="24"/>
        </w:rPr>
        <w:t xml:space="preserve">. </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Personnel</w:t>
      </w:r>
      <w:r>
        <w:rPr>
          <w:rFonts w:ascii="Tahoma" w:cs="Tahoma" w:hAnsi="Tahoma"/>
          <w:bCs/>
          <w:iCs/>
          <w:sz w:val="24"/>
          <w:szCs w:val="24"/>
        </w:rPr>
        <w:t xml:space="preserve">: </w:t>
      </w:r>
      <w:r>
        <w:rPr>
          <w:rFonts w:ascii="Tahoma" w:cs="Tahoma" w:hAnsi="Tahoma"/>
          <w:bCs/>
          <w:iCs/>
          <w:sz w:val="24"/>
          <w:szCs w:val="24"/>
        </w:rPr>
        <w:t>Kano</w:t>
      </w:r>
      <w:r>
        <w:rPr>
          <w:rFonts w:ascii="Tahoma" w:cs="Tahoma" w:hAnsi="Tahoma"/>
          <w:bCs/>
          <w:iCs/>
          <w:sz w:val="24"/>
          <w:szCs w:val="24"/>
        </w:rPr>
        <w:t xml:space="preserve"> State Personnel costs stood at N</w:t>
      </w:r>
      <w:r>
        <w:rPr>
          <w:rFonts w:ascii="Tahoma" w:cs="Tahoma" w:hAnsi="Tahoma"/>
          <w:bCs/>
          <w:iCs/>
          <w:sz w:val="24"/>
          <w:szCs w:val="24"/>
        </w:rPr>
        <w:t>46,684</w:t>
      </w:r>
      <w:r>
        <w:rPr>
          <w:rFonts w:ascii="Tahoma" w:cs="Tahoma" w:hAnsi="Tahoma"/>
          <w:bCs/>
          <w:iCs/>
          <w:sz w:val="24"/>
          <w:szCs w:val="24"/>
        </w:rPr>
        <w:t xml:space="preserve"> </w:t>
      </w:r>
      <w:r>
        <w:rPr>
          <w:rFonts w:ascii="Tahoma" w:cs="Tahoma" w:hAnsi="Tahoma"/>
          <w:bCs/>
          <w:iCs/>
          <w:sz w:val="24"/>
          <w:szCs w:val="24"/>
        </w:rPr>
        <w:t>million in 2017, N56,06</w:t>
      </w:r>
      <w:r>
        <w:rPr>
          <w:rFonts w:ascii="Tahoma" w:cs="Tahoma" w:hAnsi="Tahoma"/>
          <w:bCs/>
          <w:iCs/>
          <w:sz w:val="24"/>
          <w:szCs w:val="24"/>
        </w:rPr>
        <w:t>8</w:t>
      </w:r>
      <w:r>
        <w:rPr>
          <w:rFonts w:ascii="Tahoma" w:cs="Tahoma" w:hAnsi="Tahoma"/>
          <w:bCs/>
          <w:iCs/>
          <w:sz w:val="24"/>
          <w:szCs w:val="24"/>
        </w:rPr>
        <w:t xml:space="preserve"> m</w:t>
      </w:r>
      <w:r>
        <w:rPr>
          <w:rFonts w:ascii="Tahoma" w:cs="Tahoma" w:hAnsi="Tahoma"/>
          <w:bCs/>
          <w:iCs/>
          <w:sz w:val="24"/>
          <w:szCs w:val="24"/>
        </w:rPr>
        <w:t>illion in 2018, N</w:t>
      </w:r>
      <w:r>
        <w:rPr>
          <w:rFonts w:ascii="Tahoma" w:cs="Tahoma" w:hAnsi="Tahoma"/>
          <w:bCs/>
          <w:iCs/>
          <w:sz w:val="24"/>
          <w:szCs w:val="24"/>
        </w:rPr>
        <w:t>52,300</w:t>
      </w:r>
      <w:r>
        <w:rPr>
          <w:rFonts w:ascii="Tahoma" w:cs="Tahoma" w:hAnsi="Tahoma"/>
          <w:bCs/>
          <w:iCs/>
          <w:sz w:val="24"/>
          <w:szCs w:val="24"/>
        </w:rPr>
        <w:t xml:space="preserve"> </w:t>
      </w:r>
      <w:r>
        <w:rPr>
          <w:rFonts w:ascii="Tahoma" w:cs="Tahoma" w:hAnsi="Tahoma"/>
          <w:bCs/>
          <w:iCs/>
          <w:sz w:val="24"/>
          <w:szCs w:val="24"/>
        </w:rPr>
        <w:t>million in 2019</w:t>
      </w:r>
      <w:r>
        <w:rPr>
          <w:rFonts w:ascii="Tahoma" w:cs="Tahoma" w:hAnsi="Tahoma"/>
          <w:bCs/>
          <w:iCs/>
          <w:sz w:val="24"/>
          <w:szCs w:val="24"/>
        </w:rPr>
        <w:t xml:space="preserve">, </w:t>
      </w:r>
      <w:r>
        <w:rPr>
          <w:rFonts w:ascii="Tahoma" w:cs="Tahoma" w:hAnsi="Tahoma"/>
          <w:bCs/>
          <w:iCs/>
          <w:sz w:val="24"/>
          <w:szCs w:val="24"/>
        </w:rPr>
        <w:t>N5</w:t>
      </w:r>
      <w:r>
        <w:rPr>
          <w:rFonts w:ascii="Tahoma" w:cs="Tahoma" w:hAnsi="Tahoma"/>
          <w:bCs/>
          <w:iCs/>
          <w:sz w:val="24"/>
          <w:szCs w:val="24"/>
        </w:rPr>
        <w:t>6,</w:t>
      </w:r>
      <w:r>
        <w:rPr>
          <w:rFonts w:ascii="Tahoma" w:cs="Tahoma" w:hAnsi="Tahoma"/>
          <w:bCs/>
          <w:iCs/>
          <w:sz w:val="24"/>
          <w:szCs w:val="24"/>
        </w:rPr>
        <w:t>80</w:t>
      </w:r>
      <w:r>
        <w:rPr>
          <w:rFonts w:ascii="Tahoma" w:cs="Tahoma" w:hAnsi="Tahoma"/>
          <w:bCs/>
          <w:iCs/>
          <w:sz w:val="24"/>
          <w:szCs w:val="24"/>
        </w:rPr>
        <w:t>0</w:t>
      </w:r>
      <w:r>
        <w:rPr>
          <w:rFonts w:ascii="Tahoma" w:cs="Tahoma" w:hAnsi="Tahoma"/>
          <w:bCs/>
          <w:iCs/>
          <w:sz w:val="24"/>
          <w:szCs w:val="24"/>
        </w:rPr>
        <w:t>.00</w:t>
      </w:r>
      <w:r>
        <w:rPr>
          <w:rFonts w:ascii="Tahoma" w:cs="Tahoma" w:hAnsi="Tahoma"/>
          <w:bCs/>
          <w:iCs/>
          <w:sz w:val="24"/>
          <w:szCs w:val="24"/>
        </w:rPr>
        <w:t xml:space="preserve"> billion in 2020, </w:t>
      </w:r>
      <w:r>
        <w:rPr>
          <w:rFonts w:ascii="Tahoma" w:cs="Tahoma" w:hAnsi="Tahoma"/>
          <w:bCs/>
          <w:iCs/>
          <w:sz w:val="24"/>
          <w:szCs w:val="24"/>
        </w:rPr>
        <w:t xml:space="preserve">and N61,772 million in 2021, </w:t>
      </w:r>
      <w:r>
        <w:rPr>
          <w:rFonts w:ascii="Tahoma" w:cs="Tahoma" w:hAnsi="Tahoma"/>
          <w:bCs/>
          <w:iCs/>
          <w:sz w:val="24"/>
          <w:szCs w:val="24"/>
        </w:rPr>
        <w:t xml:space="preserve">respectively. </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Overhead Cost</w:t>
      </w:r>
      <w:r>
        <w:rPr>
          <w:rFonts w:ascii="Tahoma" w:cs="Tahoma" w:hAnsi="Tahoma"/>
          <w:bCs/>
          <w:iCs/>
          <w:sz w:val="24"/>
          <w:szCs w:val="24"/>
        </w:rPr>
        <w:t xml:space="preserve">: </w:t>
      </w:r>
      <w:r>
        <w:rPr>
          <w:rFonts w:ascii="Tahoma" w:cs="Tahoma" w:hAnsi="Tahoma"/>
          <w:bCs/>
          <w:iCs/>
          <w:sz w:val="24"/>
          <w:szCs w:val="24"/>
        </w:rPr>
        <w:t>Kano</w:t>
      </w:r>
      <w:r>
        <w:rPr>
          <w:rFonts w:ascii="Tahoma" w:cs="Tahoma" w:hAnsi="Tahoma"/>
          <w:bCs/>
          <w:iCs/>
          <w:sz w:val="24"/>
          <w:szCs w:val="24"/>
        </w:rPr>
        <w:t xml:space="preserve"> State Overhead costs amounted at N</w:t>
      </w:r>
      <w:r>
        <w:rPr>
          <w:rFonts w:ascii="Tahoma" w:cs="Tahoma" w:hAnsi="Tahoma"/>
          <w:bCs/>
          <w:iCs/>
          <w:sz w:val="24"/>
          <w:szCs w:val="24"/>
        </w:rPr>
        <w:t>1</w:t>
      </w:r>
      <w:r>
        <w:rPr>
          <w:rFonts w:ascii="Tahoma" w:cs="Tahoma" w:hAnsi="Tahoma"/>
          <w:bCs/>
          <w:iCs/>
          <w:sz w:val="24"/>
          <w:szCs w:val="24"/>
        </w:rPr>
        <w:t>8,</w:t>
      </w:r>
      <w:r>
        <w:rPr>
          <w:rFonts w:ascii="Tahoma" w:cs="Tahoma" w:hAnsi="Tahoma"/>
          <w:bCs/>
          <w:iCs/>
          <w:sz w:val="24"/>
          <w:szCs w:val="24"/>
        </w:rPr>
        <w:t>4</w:t>
      </w:r>
      <w:r>
        <w:rPr>
          <w:rFonts w:ascii="Tahoma" w:cs="Tahoma" w:hAnsi="Tahoma"/>
          <w:bCs/>
          <w:iCs/>
          <w:sz w:val="24"/>
          <w:szCs w:val="24"/>
        </w:rPr>
        <w:t>7</w:t>
      </w:r>
      <w:r>
        <w:rPr>
          <w:rFonts w:ascii="Tahoma" w:cs="Tahoma" w:hAnsi="Tahoma"/>
          <w:bCs/>
          <w:iCs/>
          <w:sz w:val="24"/>
          <w:szCs w:val="24"/>
        </w:rPr>
        <w:t>3</w:t>
      </w:r>
      <w:r>
        <w:rPr>
          <w:rFonts w:ascii="Tahoma" w:cs="Tahoma" w:hAnsi="Tahoma"/>
          <w:bCs/>
          <w:iCs/>
          <w:sz w:val="24"/>
          <w:szCs w:val="24"/>
        </w:rPr>
        <w:t xml:space="preserve"> </w:t>
      </w:r>
      <w:r>
        <w:rPr>
          <w:rFonts w:ascii="Tahoma" w:cs="Tahoma" w:hAnsi="Tahoma"/>
          <w:bCs/>
          <w:iCs/>
          <w:sz w:val="24"/>
          <w:szCs w:val="24"/>
        </w:rPr>
        <w:t>m</w:t>
      </w:r>
      <w:r>
        <w:rPr>
          <w:rFonts w:ascii="Tahoma" w:cs="Tahoma" w:hAnsi="Tahoma"/>
          <w:bCs/>
          <w:iCs/>
          <w:sz w:val="24"/>
          <w:szCs w:val="24"/>
        </w:rPr>
        <w:t>illion in 2017, N</w:t>
      </w:r>
      <w:r>
        <w:rPr>
          <w:rFonts w:ascii="Tahoma" w:cs="Tahoma" w:hAnsi="Tahoma"/>
          <w:bCs/>
          <w:iCs/>
          <w:sz w:val="24"/>
          <w:szCs w:val="24"/>
        </w:rPr>
        <w:t>22</w:t>
      </w:r>
      <w:r>
        <w:rPr>
          <w:rFonts w:ascii="Tahoma" w:cs="Tahoma" w:hAnsi="Tahoma"/>
          <w:bCs/>
          <w:iCs/>
          <w:sz w:val="24"/>
          <w:szCs w:val="24"/>
        </w:rPr>
        <w:t>,4</w:t>
      </w:r>
      <w:r>
        <w:rPr>
          <w:rFonts w:ascii="Tahoma" w:cs="Tahoma" w:hAnsi="Tahoma"/>
          <w:bCs/>
          <w:iCs/>
          <w:sz w:val="24"/>
          <w:szCs w:val="24"/>
        </w:rPr>
        <w:t>65</w:t>
      </w:r>
      <w:r>
        <w:rPr>
          <w:rFonts w:ascii="Tahoma" w:cs="Tahoma" w:hAnsi="Tahoma"/>
          <w:bCs/>
          <w:iCs/>
          <w:sz w:val="24"/>
          <w:szCs w:val="24"/>
        </w:rPr>
        <w:t xml:space="preserve"> </w:t>
      </w:r>
      <w:r>
        <w:rPr>
          <w:rFonts w:ascii="Tahoma" w:cs="Tahoma" w:hAnsi="Tahoma"/>
          <w:bCs/>
          <w:iCs/>
          <w:sz w:val="24"/>
          <w:szCs w:val="24"/>
        </w:rPr>
        <w:t>m</w:t>
      </w:r>
      <w:r>
        <w:rPr>
          <w:rFonts w:ascii="Tahoma" w:cs="Tahoma" w:hAnsi="Tahoma"/>
          <w:bCs/>
          <w:iCs/>
          <w:sz w:val="24"/>
          <w:szCs w:val="24"/>
        </w:rPr>
        <w:t>illion in 2018, N</w:t>
      </w:r>
      <w:r>
        <w:rPr>
          <w:rFonts w:ascii="Tahoma" w:cs="Tahoma" w:hAnsi="Tahoma"/>
          <w:bCs/>
          <w:iCs/>
          <w:sz w:val="24"/>
          <w:szCs w:val="24"/>
        </w:rPr>
        <w:t>2</w:t>
      </w:r>
      <w:r>
        <w:rPr>
          <w:rFonts w:ascii="Tahoma" w:cs="Tahoma" w:hAnsi="Tahoma"/>
          <w:bCs/>
          <w:iCs/>
          <w:sz w:val="24"/>
          <w:szCs w:val="24"/>
        </w:rPr>
        <w:t>1,</w:t>
      </w:r>
      <w:r>
        <w:rPr>
          <w:rFonts w:ascii="Tahoma" w:cs="Tahoma" w:hAnsi="Tahoma"/>
          <w:bCs/>
          <w:iCs/>
          <w:sz w:val="24"/>
          <w:szCs w:val="24"/>
        </w:rPr>
        <w:t>700</w:t>
      </w:r>
      <w:r>
        <w:rPr>
          <w:rFonts w:ascii="Tahoma" w:cs="Tahoma" w:hAnsi="Tahoma"/>
          <w:bCs/>
          <w:iCs/>
          <w:sz w:val="24"/>
          <w:szCs w:val="24"/>
        </w:rPr>
        <w:t xml:space="preserve"> </w:t>
      </w:r>
      <w:r>
        <w:rPr>
          <w:rFonts w:ascii="Tahoma" w:cs="Tahoma" w:hAnsi="Tahoma"/>
          <w:bCs/>
          <w:iCs/>
          <w:sz w:val="24"/>
          <w:szCs w:val="24"/>
        </w:rPr>
        <w:t>m</w:t>
      </w:r>
      <w:r>
        <w:rPr>
          <w:rFonts w:ascii="Tahoma" w:cs="Tahoma" w:hAnsi="Tahoma"/>
          <w:bCs/>
          <w:iCs/>
          <w:sz w:val="24"/>
          <w:szCs w:val="24"/>
        </w:rPr>
        <w:t>illion in 2019</w:t>
      </w:r>
      <w:r>
        <w:rPr>
          <w:rFonts w:ascii="Tahoma" w:cs="Tahoma" w:hAnsi="Tahoma"/>
          <w:bCs/>
          <w:iCs/>
          <w:sz w:val="24"/>
          <w:szCs w:val="24"/>
        </w:rPr>
        <w:t xml:space="preserve">, </w:t>
      </w:r>
      <w:r>
        <w:rPr>
          <w:rFonts w:ascii="Tahoma" w:cs="Tahoma" w:hAnsi="Tahoma"/>
          <w:bCs/>
          <w:iCs/>
          <w:sz w:val="24"/>
          <w:szCs w:val="24"/>
        </w:rPr>
        <w:t>N</w:t>
      </w:r>
      <w:r>
        <w:rPr>
          <w:rFonts w:ascii="Tahoma" w:cs="Tahoma" w:hAnsi="Tahoma"/>
          <w:bCs/>
          <w:iCs/>
          <w:sz w:val="24"/>
          <w:szCs w:val="24"/>
        </w:rPr>
        <w:t>1</w:t>
      </w:r>
      <w:r>
        <w:rPr>
          <w:rFonts w:ascii="Tahoma" w:cs="Tahoma" w:hAnsi="Tahoma"/>
          <w:bCs/>
          <w:iCs/>
          <w:sz w:val="24"/>
          <w:szCs w:val="24"/>
        </w:rPr>
        <w:t>9,</w:t>
      </w:r>
      <w:r>
        <w:rPr>
          <w:rFonts w:ascii="Tahoma" w:cs="Tahoma" w:hAnsi="Tahoma"/>
          <w:bCs/>
          <w:iCs/>
          <w:sz w:val="24"/>
          <w:szCs w:val="24"/>
        </w:rPr>
        <w:t>200 m</w:t>
      </w:r>
      <w:r>
        <w:rPr>
          <w:rFonts w:ascii="Tahoma" w:cs="Tahoma" w:hAnsi="Tahoma"/>
          <w:bCs/>
          <w:iCs/>
          <w:sz w:val="24"/>
          <w:szCs w:val="24"/>
        </w:rPr>
        <w:t>illion in 2020,</w:t>
      </w:r>
      <w:r>
        <w:rPr>
          <w:rFonts w:ascii="Tahoma" w:cs="Tahoma" w:hAnsi="Tahoma"/>
          <w:bCs/>
          <w:iCs/>
          <w:sz w:val="24"/>
          <w:szCs w:val="24"/>
        </w:rPr>
        <w:t xml:space="preserve"> and N9,291 million in 2021</w:t>
      </w:r>
      <w:r>
        <w:rPr>
          <w:rFonts w:ascii="Tahoma" w:cs="Tahoma" w:hAnsi="Tahoma"/>
          <w:bCs/>
          <w:iCs/>
          <w:sz w:val="24"/>
          <w:szCs w:val="24"/>
        </w:rPr>
        <w:t xml:space="preserve"> respectively. </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Other Recurrent Expenditure</w:t>
      </w:r>
      <w:r>
        <w:rPr>
          <w:rFonts w:ascii="Tahoma" w:cs="Tahoma" w:hAnsi="Tahoma"/>
          <w:bCs/>
          <w:iCs/>
          <w:sz w:val="24"/>
          <w:szCs w:val="24"/>
        </w:rPr>
        <w:t xml:space="preserve">:  </w:t>
      </w:r>
      <w:r>
        <w:rPr>
          <w:rFonts w:ascii="Tahoma" w:cs="Tahoma" w:hAnsi="Tahoma"/>
          <w:bCs/>
          <w:iCs/>
          <w:sz w:val="24"/>
          <w:szCs w:val="24"/>
        </w:rPr>
        <w:t>Kano</w:t>
      </w:r>
      <w:r>
        <w:rPr>
          <w:rFonts w:ascii="Tahoma" w:cs="Tahoma" w:hAnsi="Tahoma"/>
          <w:bCs/>
          <w:iCs/>
          <w:sz w:val="24"/>
          <w:szCs w:val="24"/>
        </w:rPr>
        <w:t xml:space="preserve"> State recorded </w:t>
      </w:r>
      <w:r>
        <w:rPr>
          <w:rFonts w:ascii="Tahoma" w:cs="Tahoma" w:hAnsi="Tahoma"/>
          <w:bCs/>
          <w:iCs/>
          <w:sz w:val="24"/>
          <w:szCs w:val="24"/>
        </w:rPr>
        <w:t xml:space="preserve">Other Recurrent Expenditure </w:t>
      </w:r>
      <w:r>
        <w:rPr>
          <w:rFonts w:ascii="Tahoma" w:cs="Tahoma" w:hAnsi="Tahoma"/>
          <w:bCs/>
          <w:iCs/>
          <w:sz w:val="24"/>
          <w:szCs w:val="24"/>
        </w:rPr>
        <w:t xml:space="preserve">recorded </w:t>
      </w:r>
      <w:r>
        <w:rPr>
          <w:rFonts w:ascii="Tahoma" w:cs="Tahoma" w:hAnsi="Tahoma"/>
          <w:bCs/>
          <w:iCs/>
          <w:sz w:val="24"/>
          <w:szCs w:val="24"/>
        </w:rPr>
        <w:t xml:space="preserve">the sum of </w:t>
      </w:r>
      <w:r>
        <w:rPr>
          <w:rFonts w:ascii="Tahoma" w:cs="Tahoma" w:hAnsi="Tahoma"/>
          <w:bCs/>
          <w:iCs/>
          <w:sz w:val="24"/>
          <w:szCs w:val="24"/>
        </w:rPr>
        <w:t>N</w:t>
      </w:r>
      <w:r>
        <w:rPr>
          <w:rFonts w:ascii="Tahoma" w:cs="Tahoma" w:hAnsi="Tahoma"/>
          <w:bCs/>
          <w:iCs/>
          <w:sz w:val="24"/>
          <w:szCs w:val="24"/>
        </w:rPr>
        <w:t xml:space="preserve">3,223 </w:t>
      </w:r>
      <w:r>
        <w:rPr>
          <w:rFonts w:ascii="Tahoma" w:cs="Tahoma" w:hAnsi="Tahoma"/>
          <w:bCs/>
          <w:iCs/>
          <w:sz w:val="24"/>
          <w:szCs w:val="24"/>
        </w:rPr>
        <w:t>million in 202</w:t>
      </w:r>
      <w:r>
        <w:rPr>
          <w:rFonts w:ascii="Tahoma" w:cs="Tahoma" w:hAnsi="Tahoma"/>
          <w:bCs/>
          <w:iCs/>
          <w:sz w:val="24"/>
          <w:szCs w:val="24"/>
        </w:rPr>
        <w:t>1</w:t>
      </w:r>
      <w:r>
        <w:rPr>
          <w:rFonts w:ascii="Tahoma" w:cs="Tahoma" w:hAnsi="Tahoma"/>
          <w:bCs/>
          <w:iCs/>
          <w:sz w:val="24"/>
          <w:szCs w:val="24"/>
        </w:rPr>
        <w:t xml:space="preserve"> compared with </w:t>
      </w:r>
      <w:r>
        <w:rPr>
          <w:rFonts w:ascii="Tahoma" w:cs="Tahoma" w:hAnsi="Tahoma"/>
          <w:bCs/>
          <w:iCs/>
          <w:sz w:val="24"/>
          <w:szCs w:val="24"/>
        </w:rPr>
        <w:t>N7,444</w:t>
      </w:r>
      <w:r>
        <w:rPr>
          <w:rFonts w:ascii="Tahoma" w:cs="Tahoma" w:hAnsi="Tahoma"/>
          <w:bCs/>
          <w:iCs/>
          <w:sz w:val="24"/>
          <w:szCs w:val="24"/>
        </w:rPr>
        <w:t xml:space="preserve"> million in 201</w:t>
      </w:r>
      <w:r>
        <w:rPr>
          <w:rFonts w:ascii="Tahoma" w:cs="Tahoma" w:hAnsi="Tahoma"/>
          <w:bCs/>
          <w:iCs/>
          <w:sz w:val="24"/>
          <w:szCs w:val="24"/>
        </w:rPr>
        <w:t>7</w:t>
      </w:r>
      <w:r>
        <w:rPr>
          <w:rFonts w:ascii="Tahoma" w:cs="Tahoma" w:hAnsi="Tahoma"/>
          <w:bCs/>
          <w:iCs/>
          <w:sz w:val="24"/>
          <w:szCs w:val="24"/>
        </w:rPr>
        <w:t>.</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Capital Expenditure</w:t>
      </w:r>
      <w:r>
        <w:rPr>
          <w:rFonts w:ascii="Tahoma" w:cs="Tahoma" w:hAnsi="Tahoma"/>
          <w:bCs/>
          <w:iCs/>
          <w:sz w:val="24"/>
          <w:szCs w:val="24"/>
        </w:rPr>
        <w:t xml:space="preserve">: Capital Expenditure </w:t>
      </w:r>
      <w:r>
        <w:rPr>
          <w:rFonts w:ascii="Tahoma" w:cs="Tahoma" w:hAnsi="Tahoma"/>
          <w:bCs/>
          <w:iCs/>
          <w:sz w:val="24"/>
          <w:szCs w:val="24"/>
        </w:rPr>
        <w:t>amounted to N70,969 million in 2017, 69,869 million in 2018, 45,100 million in 2019</w:t>
      </w:r>
      <w:r>
        <w:rPr>
          <w:rFonts w:ascii="Tahoma" w:cs="Tahoma" w:hAnsi="Tahoma"/>
          <w:bCs/>
          <w:iCs/>
          <w:sz w:val="24"/>
          <w:szCs w:val="24"/>
        </w:rPr>
        <w:t xml:space="preserve">, </w:t>
      </w:r>
      <w:r>
        <w:rPr>
          <w:rFonts w:ascii="Tahoma" w:cs="Tahoma" w:hAnsi="Tahoma"/>
          <w:bCs/>
          <w:iCs/>
          <w:sz w:val="24"/>
          <w:szCs w:val="24"/>
        </w:rPr>
        <w:t>N55,100 million in 2020</w:t>
      </w:r>
      <w:r>
        <w:rPr>
          <w:rFonts w:ascii="Tahoma" w:cs="Tahoma" w:hAnsi="Tahoma"/>
          <w:bCs/>
          <w:iCs/>
          <w:sz w:val="24"/>
          <w:szCs w:val="24"/>
        </w:rPr>
        <w:t xml:space="preserve"> and N41,676 million in 2021,</w:t>
      </w:r>
      <w:r>
        <w:rPr>
          <w:rFonts w:ascii="Tahoma" w:cs="Tahoma" w:hAnsi="Tahoma"/>
          <w:bCs/>
          <w:iCs/>
          <w:sz w:val="24"/>
          <w:szCs w:val="24"/>
        </w:rPr>
        <w:t xml:space="preserve"> respe</w:t>
      </w:r>
      <w:r>
        <w:rPr>
          <w:rFonts w:ascii="Tahoma" w:cs="Tahoma" w:hAnsi="Tahoma"/>
          <w:bCs/>
          <w:iCs/>
          <w:sz w:val="24"/>
          <w:szCs w:val="24"/>
        </w:rPr>
        <w:t>ctively</w:t>
      </w:r>
      <w:r>
        <w:rPr>
          <w:rFonts w:ascii="Tahoma" w:cs="Tahoma" w:hAnsi="Tahoma"/>
          <w:bCs/>
          <w:iCs/>
          <w:sz w:val="24"/>
          <w:szCs w:val="24"/>
        </w:rPr>
        <w:t>.</w:t>
      </w:r>
    </w:p>
    <w:tbl>
      <w:tblPr>
        <w:tblW w:w="92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0"/>
        <w:gridCol w:w="1134"/>
        <w:gridCol w:w="1128"/>
        <w:gridCol w:w="1128"/>
        <w:gridCol w:w="1128"/>
        <w:gridCol w:w="1128"/>
      </w:tblGrid>
      <w:tr>
        <w:trPr>
          <w:trHeight w:val="276" w:hRule="atLeast"/>
        </w:trPr>
        <w:tc>
          <w:tcPr>
            <w:tcW w:w="3570" w:type="dxa"/>
            <w:tcBorders/>
            <w:shd w:val="clear" w:color="auto" w:fill="92d050"/>
            <w:noWrap/>
            <w:vAlign w:val="bottom"/>
            <w:hideMark/>
          </w:tcPr>
          <w:p>
            <w:pPr>
              <w:pStyle w:val="style0"/>
              <w:spacing w:after="0" w:lineRule="auto" w:line="240"/>
              <w:rPr>
                <w:rFonts w:cs="Calibri" w:eastAsia="Times New Roman"/>
                <w:b/>
                <w:bCs/>
                <w:sz w:val="20"/>
                <w:szCs w:val="20"/>
              </w:rPr>
            </w:pPr>
            <w:r>
              <w:rPr>
                <w:rFonts w:cs="Calibri" w:eastAsia="Times New Roman"/>
                <w:b/>
                <w:bCs/>
                <w:sz w:val="20"/>
                <w:szCs w:val="20"/>
              </w:rPr>
              <w:t>Expenditure Performance</w:t>
            </w:r>
          </w:p>
        </w:tc>
        <w:tc>
          <w:tcPr>
            <w:tcW w:w="1134"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2017</w:t>
            </w:r>
          </w:p>
        </w:tc>
        <w:tc>
          <w:tcPr>
            <w:tcW w:w="1128"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2018</w:t>
            </w:r>
          </w:p>
        </w:tc>
        <w:tc>
          <w:tcPr>
            <w:tcW w:w="1128"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2019</w:t>
            </w:r>
          </w:p>
        </w:tc>
        <w:tc>
          <w:tcPr>
            <w:tcW w:w="1128"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2020</w:t>
            </w:r>
          </w:p>
        </w:tc>
        <w:tc>
          <w:tcPr>
            <w:tcW w:w="1128"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2021</w:t>
            </w:r>
          </w:p>
        </w:tc>
      </w:tr>
      <w:tr>
        <w:tblPrEx/>
        <w:trPr>
          <w:trHeight w:val="276" w:hRule="atLeast"/>
        </w:trPr>
        <w:tc>
          <w:tcPr>
            <w:tcW w:w="3570"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Total Expenditure</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183,144</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168,611</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169,319</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178,379</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179,404</w:t>
            </w:r>
          </w:p>
        </w:tc>
      </w:tr>
      <w:tr>
        <w:tblPrEx/>
        <w:trPr>
          <w:trHeight w:val="276" w:hRule="atLeast"/>
        </w:trPr>
        <w:tc>
          <w:tcPr>
            <w:tcW w:w="3570"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Personnel</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46,684</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56,068</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52,300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56,800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61,772</w:t>
            </w:r>
          </w:p>
        </w:tc>
      </w:tr>
      <w:tr>
        <w:tblPrEx/>
        <w:trPr>
          <w:trHeight w:val="276" w:hRule="atLeast"/>
        </w:trPr>
        <w:tc>
          <w:tcPr>
            <w:tcW w:w="3570"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Overhead Costs</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18,473</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22,465</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21,700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19,200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9,291</w:t>
            </w:r>
          </w:p>
        </w:tc>
      </w:tr>
      <w:tr>
        <w:tblPrEx/>
        <w:trPr>
          <w:trHeight w:val="276" w:hRule="atLeast"/>
        </w:trPr>
        <w:tc>
          <w:tcPr>
            <w:tcW w:w="3570"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Debt Service (Interests + Amortizations)</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39,574</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14,637</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42,919</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38,679</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63,443</w:t>
            </w:r>
          </w:p>
        </w:tc>
      </w:tr>
      <w:tr>
        <w:tblPrEx/>
        <w:trPr>
          <w:trHeight w:val="276" w:hRule="atLeast"/>
        </w:trPr>
        <w:tc>
          <w:tcPr>
            <w:tcW w:w="3570"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Other Recurrent Expenditures</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7,444</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5,572</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7,300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8,600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3,223</w:t>
            </w:r>
          </w:p>
        </w:tc>
      </w:tr>
      <w:tr>
        <w:tblPrEx/>
        <w:trPr>
          <w:trHeight w:val="276" w:hRule="atLeast"/>
        </w:trPr>
        <w:tc>
          <w:tcPr>
            <w:tcW w:w="3570"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Capital Expenditure</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70,969</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69,869</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45,100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55,100</w:t>
            </w:r>
          </w:p>
        </w:tc>
        <w:tc>
          <w:tcPr>
            <w:tcW w:w="1128" w:type="dxa"/>
            <w:tcBorders/>
            <w:shd w:val="clear" w:color="auto" w:fill="auto"/>
            <w:noWrap/>
            <w:hideMark/>
          </w:tcPr>
          <w:p>
            <w:pPr>
              <w:pStyle w:val="style0"/>
              <w:spacing w:after="0" w:lineRule="auto" w:line="240"/>
              <w:jc w:val="right"/>
              <w:rPr>
                <w:rFonts w:cs="Calibri" w:eastAsia="Times New Roman"/>
                <w:color w:val="000000"/>
                <w:sz w:val="20"/>
                <w:szCs w:val="20"/>
              </w:rPr>
            </w:pPr>
            <w:r>
              <w:t>41,676</w:t>
            </w:r>
          </w:p>
        </w:tc>
      </w:tr>
    </w:tbl>
    <w:p>
      <w:pPr>
        <w:pStyle w:val="style0"/>
        <w:spacing w:lineRule="auto" w:line="360"/>
        <w:jc w:val="both"/>
        <w:rPr>
          <w:rFonts w:ascii="Tahoma" w:cs="Tahoma" w:hAnsi="Tahoma"/>
          <w:bCs/>
          <w:iCs/>
          <w:sz w:val="24"/>
          <w:szCs w:val="24"/>
        </w:rPr>
      </w:pPr>
    </w:p>
    <w:p>
      <w:pPr>
        <w:pStyle w:val="style0"/>
        <w:spacing w:lineRule="auto" w:line="360"/>
        <w:jc w:val="both"/>
        <w:rPr>
          <w:rFonts w:ascii="Tahoma" w:cs="Tahoma" w:hAnsi="Tahoma"/>
          <w:bCs/>
          <w:iCs/>
          <w:sz w:val="24"/>
          <w:szCs w:val="24"/>
        </w:rPr>
      </w:pPr>
      <w:r>
        <w:rPr>
          <w:noProof/>
        </w:rPr>
        <w:drawing>
          <wp:inline distL="0" distT="0" distB="0" distR="0">
            <wp:extent cx="5867400" cy="3086100"/>
            <wp:effectExtent l="0" t="0" r="0" b="0"/>
            <wp:docPr id="102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4" cstate="print"/>
                    <a:srcRect l="0" t="0" r="0" b="0"/>
                    <a:stretch/>
                  </pic:blipFill>
                  <pic:spPr>
                    <a:xfrm rot="0">
                      <a:off x="0" y="0"/>
                      <a:ext cx="5867400" cy="3086100"/>
                    </a:xfrm>
                    <a:prstGeom prst="rect"/>
                    <a:ln>
                      <a:noFill/>
                    </a:ln>
                  </pic:spPr>
                </pic:pic>
              </a:graphicData>
            </a:graphic>
          </wp:inline>
        </w:drawing>
      </w:r>
    </w:p>
    <w:p>
      <w:pPr>
        <w:pStyle w:val="style179"/>
        <w:numPr>
          <w:ilvl w:val="1"/>
          <w:numId w:val="9"/>
        </w:numPr>
        <w:spacing w:after="0" w:lineRule="auto" w:line="360"/>
        <w:rPr>
          <w:rFonts w:ascii="Tahoma" w:cs="Tahoma" w:hAnsi="Tahoma"/>
          <w:iCs/>
          <w:sz w:val="24"/>
          <w:szCs w:val="24"/>
        </w:rPr>
      </w:pPr>
      <w:r>
        <w:rPr>
          <w:rFonts w:ascii="Tahoma" w:cs="Tahoma" w:hAnsi="Tahoma"/>
          <w:b/>
          <w:iCs/>
          <w:sz w:val="24"/>
          <w:szCs w:val="24"/>
        </w:rPr>
        <w:t>Existing Public Debt Portfolio</w:t>
      </w:r>
    </w:p>
    <w:p>
      <w:pPr>
        <w:pStyle w:val="style0"/>
        <w:spacing w:lineRule="auto" w:line="360"/>
        <w:jc w:val="both"/>
        <w:rPr>
          <w:rFonts w:ascii="Tahoma" w:cs="Tahoma" w:hAnsi="Tahoma"/>
          <w:bCs/>
          <w:iCs/>
          <w:sz w:val="24"/>
          <w:szCs w:val="24"/>
        </w:rPr>
      </w:pPr>
      <w:r>
        <w:rPr>
          <w:rFonts w:ascii="Tahoma" w:cs="Tahoma" w:hAnsi="Tahoma"/>
          <w:bCs/>
          <w:iCs/>
          <w:sz w:val="24"/>
          <w:szCs w:val="24"/>
        </w:rPr>
        <w:t>3.2.1</w:t>
      </w:r>
      <w:r>
        <w:rPr>
          <w:rFonts w:ascii="Tahoma" w:cs="Tahoma" w:hAnsi="Tahoma"/>
          <w:bCs/>
          <w:iCs/>
          <w:sz w:val="24"/>
          <w:szCs w:val="24"/>
        </w:rPr>
        <w:tab/>
      </w:r>
      <w:r>
        <w:rPr>
          <w:rFonts w:ascii="Tahoma" w:cs="Tahoma" w:hAnsi="Tahoma"/>
          <w:bCs/>
          <w:iCs/>
          <w:sz w:val="24"/>
          <w:szCs w:val="24"/>
        </w:rPr>
        <w:t xml:space="preserve">Debt Stock - </w:t>
      </w:r>
      <w:r>
        <w:rPr>
          <w:rFonts w:ascii="Tahoma" w:cs="Tahoma" w:hAnsi="Tahoma"/>
          <w:bCs/>
          <w:iCs/>
          <w:sz w:val="24"/>
          <w:szCs w:val="24"/>
        </w:rPr>
        <w:t>Kano</w:t>
      </w:r>
      <w:r>
        <w:rPr>
          <w:rFonts w:ascii="Tahoma" w:cs="Tahoma" w:hAnsi="Tahoma"/>
          <w:bCs/>
          <w:iCs/>
          <w:sz w:val="24"/>
          <w:szCs w:val="24"/>
        </w:rPr>
        <w:t xml:space="preserve"> State Total </w:t>
      </w:r>
      <w:r>
        <w:rPr>
          <w:rFonts w:ascii="Tahoma" w:cs="Tahoma" w:hAnsi="Tahoma"/>
          <w:bCs/>
          <w:iCs/>
          <w:sz w:val="24"/>
          <w:szCs w:val="24"/>
        </w:rPr>
        <w:t xml:space="preserve">Debt </w:t>
      </w:r>
      <w:r>
        <w:rPr>
          <w:rFonts w:ascii="Tahoma" w:cs="Tahoma" w:hAnsi="Tahoma"/>
          <w:bCs/>
          <w:iCs/>
          <w:sz w:val="24"/>
          <w:szCs w:val="24"/>
        </w:rPr>
        <w:t>compris</w:t>
      </w:r>
      <w:r>
        <w:rPr>
          <w:rFonts w:ascii="Tahoma" w:cs="Tahoma" w:hAnsi="Tahoma"/>
          <w:bCs/>
          <w:iCs/>
          <w:sz w:val="24"/>
          <w:szCs w:val="24"/>
        </w:rPr>
        <w:t xml:space="preserve">ed </w:t>
      </w:r>
      <w:r>
        <w:rPr>
          <w:rFonts w:ascii="Tahoma" w:cs="Tahoma" w:hAnsi="Tahoma"/>
          <w:bCs/>
          <w:iCs/>
          <w:sz w:val="24"/>
          <w:szCs w:val="24"/>
        </w:rPr>
        <w:t xml:space="preserve">External and Domestic Debts </w:t>
      </w:r>
      <w:r>
        <w:rPr>
          <w:rFonts w:ascii="Tahoma" w:cs="Tahoma" w:hAnsi="Tahoma"/>
          <w:bCs/>
          <w:iCs/>
          <w:sz w:val="24"/>
          <w:szCs w:val="24"/>
        </w:rPr>
        <w:t>stood</w:t>
      </w:r>
      <w:r>
        <w:rPr>
          <w:rFonts w:ascii="Tahoma" w:cs="Tahoma" w:hAnsi="Tahoma"/>
          <w:bCs/>
          <w:iCs/>
          <w:sz w:val="24"/>
          <w:szCs w:val="24"/>
        </w:rPr>
        <w:t xml:space="preserve"> at</w:t>
      </w:r>
      <w:r>
        <w:rPr>
          <w:rFonts w:ascii="Tahoma" w:cs="Tahoma" w:hAnsi="Tahoma"/>
          <w:bCs/>
          <w:iCs/>
          <w:sz w:val="24"/>
          <w:szCs w:val="24"/>
        </w:rPr>
        <w:t xml:space="preserve"> N</w:t>
      </w:r>
      <w:r>
        <w:rPr>
          <w:rFonts w:ascii="Tahoma" w:cs="Tahoma" w:hAnsi="Tahoma"/>
          <w:bCs/>
          <w:iCs/>
          <w:sz w:val="24"/>
          <w:szCs w:val="24"/>
        </w:rPr>
        <w:t>1</w:t>
      </w:r>
      <w:r>
        <w:rPr>
          <w:rFonts w:ascii="Tahoma" w:cs="Tahoma" w:hAnsi="Tahoma"/>
          <w:bCs/>
          <w:iCs/>
          <w:sz w:val="24"/>
          <w:szCs w:val="24"/>
        </w:rPr>
        <w:t xml:space="preserve">61,415 </w:t>
      </w:r>
      <w:r>
        <w:rPr>
          <w:rFonts w:ascii="Tahoma" w:cs="Tahoma" w:hAnsi="Tahoma"/>
          <w:bCs/>
          <w:iCs/>
          <w:sz w:val="24"/>
          <w:szCs w:val="24"/>
        </w:rPr>
        <w:t xml:space="preserve">million </w:t>
      </w:r>
      <w:r>
        <w:rPr>
          <w:rFonts w:ascii="Tahoma" w:cs="Tahoma" w:hAnsi="Tahoma"/>
          <w:bCs/>
          <w:iCs/>
          <w:sz w:val="24"/>
          <w:szCs w:val="24"/>
        </w:rPr>
        <w:t xml:space="preserve">in 2021 </w:t>
      </w:r>
      <w:r>
        <w:rPr>
          <w:rFonts w:ascii="Tahoma" w:cs="Tahoma" w:hAnsi="Tahoma"/>
          <w:bCs/>
          <w:iCs/>
          <w:sz w:val="24"/>
          <w:szCs w:val="24"/>
        </w:rPr>
        <w:t>compared to N</w:t>
      </w:r>
      <w:r>
        <w:rPr>
          <w:rFonts w:ascii="Tahoma" w:cs="Tahoma" w:hAnsi="Tahoma"/>
          <w:bCs/>
          <w:iCs/>
          <w:sz w:val="24"/>
          <w:szCs w:val="24"/>
        </w:rPr>
        <w:t>1</w:t>
      </w:r>
      <w:r>
        <w:rPr>
          <w:rFonts w:ascii="Tahoma" w:cs="Tahoma" w:hAnsi="Tahoma"/>
          <w:bCs/>
          <w:iCs/>
          <w:sz w:val="24"/>
          <w:szCs w:val="24"/>
        </w:rPr>
        <w:t xml:space="preserve">42,996 </w:t>
      </w:r>
      <w:r>
        <w:rPr>
          <w:rFonts w:ascii="Tahoma" w:cs="Tahoma" w:hAnsi="Tahoma"/>
          <w:bCs/>
          <w:iCs/>
          <w:sz w:val="24"/>
          <w:szCs w:val="24"/>
        </w:rPr>
        <w:t xml:space="preserve">million </w:t>
      </w:r>
      <w:r>
        <w:rPr>
          <w:rFonts w:ascii="Tahoma" w:cs="Tahoma" w:hAnsi="Tahoma"/>
          <w:bCs/>
          <w:iCs/>
          <w:sz w:val="24"/>
          <w:szCs w:val="24"/>
        </w:rPr>
        <w:t>in 2020, which representing an increase</w:t>
      </w:r>
      <w:r>
        <w:rPr>
          <w:rFonts w:ascii="Tahoma" w:cs="Tahoma" w:hAnsi="Tahoma"/>
          <w:bCs/>
          <w:iCs/>
          <w:sz w:val="24"/>
          <w:szCs w:val="24"/>
        </w:rPr>
        <w:t xml:space="preserve"> </w:t>
      </w:r>
      <w:r>
        <w:rPr>
          <w:rFonts w:ascii="Tahoma" w:cs="Tahoma" w:hAnsi="Tahoma"/>
          <w:bCs/>
          <w:iCs/>
          <w:sz w:val="24"/>
          <w:szCs w:val="24"/>
        </w:rPr>
        <w:t xml:space="preserve">of 12.88 </w:t>
      </w:r>
      <w:r>
        <w:rPr>
          <w:rFonts w:ascii="Tahoma" w:cs="Tahoma" w:hAnsi="Tahoma"/>
          <w:bCs/>
          <w:iCs/>
          <w:sz w:val="24"/>
          <w:szCs w:val="24"/>
        </w:rPr>
        <w:t>percent or N</w:t>
      </w:r>
      <w:r>
        <w:rPr>
          <w:rFonts w:ascii="Tahoma" w:cs="Tahoma" w:hAnsi="Tahoma"/>
          <w:bCs/>
          <w:iCs/>
          <w:sz w:val="24"/>
          <w:szCs w:val="24"/>
        </w:rPr>
        <w:t>1</w:t>
      </w:r>
      <w:r>
        <w:rPr>
          <w:rFonts w:ascii="Tahoma" w:cs="Tahoma" w:hAnsi="Tahoma"/>
          <w:bCs/>
          <w:iCs/>
          <w:sz w:val="24"/>
          <w:szCs w:val="24"/>
        </w:rPr>
        <w:t xml:space="preserve">8.419 </w:t>
      </w:r>
      <w:r>
        <w:rPr>
          <w:rFonts w:ascii="Tahoma" w:cs="Tahoma" w:hAnsi="Tahoma"/>
          <w:bCs/>
          <w:iCs/>
          <w:sz w:val="24"/>
          <w:szCs w:val="24"/>
        </w:rPr>
        <w:t>million, respective</w:t>
      </w:r>
      <w:r>
        <w:rPr>
          <w:rFonts w:ascii="Tahoma" w:cs="Tahoma" w:hAnsi="Tahoma"/>
          <w:bCs/>
          <w:iCs/>
          <w:sz w:val="24"/>
          <w:szCs w:val="24"/>
        </w:rPr>
        <w:t xml:space="preserve">ly. </w:t>
      </w:r>
      <w:r>
        <w:rPr>
          <w:rFonts w:ascii="Tahoma" w:cs="Tahoma" w:hAnsi="Tahoma"/>
          <w:bCs/>
          <w:iCs/>
          <w:sz w:val="24"/>
          <w:szCs w:val="24"/>
        </w:rPr>
        <w:t>Domestic Debt stock stood at N</w:t>
      </w:r>
      <w:r>
        <w:rPr>
          <w:rFonts w:ascii="Tahoma" w:cs="Tahoma" w:hAnsi="Tahoma"/>
          <w:bCs/>
          <w:iCs/>
          <w:sz w:val="24"/>
          <w:szCs w:val="24"/>
        </w:rPr>
        <w:t>11</w:t>
      </w:r>
      <w:r>
        <w:rPr>
          <w:rFonts w:ascii="Tahoma" w:cs="Tahoma" w:hAnsi="Tahoma"/>
          <w:bCs/>
          <w:iCs/>
          <w:sz w:val="24"/>
          <w:szCs w:val="24"/>
        </w:rPr>
        <w:t xml:space="preserve">4,236 </w:t>
      </w:r>
      <w:r>
        <w:rPr>
          <w:rFonts w:ascii="Tahoma" w:cs="Tahoma" w:hAnsi="Tahoma"/>
          <w:bCs/>
          <w:iCs/>
          <w:sz w:val="24"/>
          <w:szCs w:val="24"/>
        </w:rPr>
        <w:t xml:space="preserve">million </w:t>
      </w:r>
      <w:r>
        <w:rPr>
          <w:rFonts w:ascii="Tahoma" w:cs="Tahoma" w:hAnsi="Tahoma"/>
          <w:bCs/>
          <w:iCs/>
          <w:sz w:val="24"/>
          <w:szCs w:val="24"/>
        </w:rPr>
        <w:t xml:space="preserve">in </w:t>
      </w:r>
      <w:r>
        <w:rPr>
          <w:rFonts w:ascii="Tahoma" w:cs="Tahoma" w:hAnsi="Tahoma"/>
          <w:bCs/>
          <w:iCs/>
          <w:sz w:val="24"/>
          <w:szCs w:val="24"/>
        </w:rPr>
        <w:t>20</w:t>
      </w:r>
      <w:r>
        <w:rPr>
          <w:rFonts w:ascii="Tahoma" w:cs="Tahoma" w:hAnsi="Tahoma"/>
          <w:bCs/>
          <w:iCs/>
          <w:sz w:val="24"/>
          <w:szCs w:val="24"/>
        </w:rPr>
        <w:t>2</w:t>
      </w:r>
      <w:r>
        <w:rPr>
          <w:rFonts w:ascii="Tahoma" w:cs="Tahoma" w:hAnsi="Tahoma"/>
          <w:bCs/>
          <w:iCs/>
          <w:sz w:val="24"/>
          <w:szCs w:val="24"/>
        </w:rPr>
        <w:t>1</w:t>
      </w:r>
      <w:r>
        <w:rPr>
          <w:rFonts w:ascii="Tahoma" w:cs="Tahoma" w:hAnsi="Tahoma"/>
          <w:bCs/>
          <w:iCs/>
          <w:sz w:val="24"/>
          <w:szCs w:val="24"/>
        </w:rPr>
        <w:t xml:space="preserve"> compared</w:t>
      </w:r>
      <w:r>
        <w:rPr>
          <w:rFonts w:ascii="Tahoma" w:cs="Tahoma" w:hAnsi="Tahoma"/>
          <w:bCs/>
          <w:iCs/>
          <w:sz w:val="24"/>
          <w:szCs w:val="24"/>
        </w:rPr>
        <w:t xml:space="preserve"> to </w:t>
      </w:r>
      <w:r>
        <w:rPr>
          <w:rFonts w:ascii="Tahoma" w:cs="Tahoma" w:hAnsi="Tahoma"/>
          <w:bCs/>
          <w:iCs/>
          <w:sz w:val="24"/>
          <w:szCs w:val="24"/>
        </w:rPr>
        <w:t>N</w:t>
      </w:r>
      <w:r>
        <w:rPr>
          <w:rFonts w:ascii="Tahoma" w:cs="Tahoma" w:hAnsi="Tahoma"/>
          <w:bCs/>
          <w:iCs/>
          <w:sz w:val="24"/>
          <w:szCs w:val="24"/>
        </w:rPr>
        <w:t>1</w:t>
      </w:r>
      <w:r>
        <w:rPr>
          <w:rFonts w:ascii="Tahoma" w:cs="Tahoma" w:hAnsi="Tahoma"/>
          <w:bCs/>
          <w:iCs/>
          <w:sz w:val="24"/>
          <w:szCs w:val="24"/>
        </w:rPr>
        <w:t xml:space="preserve">16,935 </w:t>
      </w:r>
      <w:r>
        <w:rPr>
          <w:rFonts w:ascii="Tahoma" w:cs="Tahoma" w:hAnsi="Tahoma"/>
          <w:bCs/>
          <w:iCs/>
          <w:sz w:val="24"/>
          <w:szCs w:val="24"/>
        </w:rPr>
        <w:t xml:space="preserve">million in </w:t>
      </w:r>
      <w:r>
        <w:rPr>
          <w:rFonts w:ascii="Tahoma" w:cs="Tahoma" w:hAnsi="Tahoma"/>
          <w:bCs/>
          <w:iCs/>
          <w:sz w:val="24"/>
          <w:szCs w:val="24"/>
        </w:rPr>
        <w:t>2020</w:t>
      </w:r>
      <w:r>
        <w:rPr>
          <w:rFonts w:ascii="Tahoma" w:cs="Tahoma" w:hAnsi="Tahoma"/>
          <w:bCs/>
          <w:iCs/>
          <w:sz w:val="24"/>
          <w:szCs w:val="24"/>
        </w:rPr>
        <w:t>.</w:t>
      </w:r>
      <w:r>
        <w:rPr>
          <w:rFonts w:ascii="Tahoma" w:cs="Tahoma" w:hAnsi="Tahoma"/>
          <w:bCs/>
          <w:iCs/>
          <w:sz w:val="24"/>
          <w:szCs w:val="24"/>
        </w:rPr>
        <w:t xml:space="preserve"> External Debt stock stood at N47,178 million in 2021 compared to N26,061 million in 2020.</w:t>
      </w:r>
    </w:p>
    <w:tbl>
      <w:tblPr>
        <w:tblW w:w="91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3"/>
        <w:gridCol w:w="1134"/>
        <w:gridCol w:w="1131"/>
        <w:gridCol w:w="1270"/>
        <w:gridCol w:w="1277"/>
        <w:gridCol w:w="1285"/>
      </w:tblGrid>
      <w:tr>
        <w:trPr>
          <w:trHeight w:val="276" w:hRule="atLeast"/>
        </w:trPr>
        <w:tc>
          <w:tcPr>
            <w:tcW w:w="3003" w:type="dxa"/>
            <w:tcBorders/>
            <w:shd w:val="clear" w:color="auto" w:fill="92d050"/>
            <w:noWrap/>
            <w:vAlign w:val="bottom"/>
            <w:hideMark/>
          </w:tcPr>
          <w:p>
            <w:pPr>
              <w:pStyle w:val="style0"/>
              <w:spacing w:after="0" w:lineRule="auto" w:line="240"/>
              <w:rPr>
                <w:rFonts w:cs="Calibri" w:eastAsia="Times New Roman"/>
                <w:sz w:val="20"/>
                <w:szCs w:val="20"/>
              </w:rPr>
            </w:pPr>
          </w:p>
        </w:tc>
        <w:tc>
          <w:tcPr>
            <w:tcW w:w="1134"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2017</w:t>
            </w:r>
          </w:p>
        </w:tc>
        <w:tc>
          <w:tcPr>
            <w:tcW w:w="1131"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2018</w:t>
            </w:r>
          </w:p>
        </w:tc>
        <w:tc>
          <w:tcPr>
            <w:tcW w:w="1270"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2019</w:t>
            </w:r>
          </w:p>
        </w:tc>
        <w:tc>
          <w:tcPr>
            <w:tcW w:w="1277"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2020</w:t>
            </w:r>
          </w:p>
        </w:tc>
        <w:tc>
          <w:tcPr>
            <w:tcW w:w="1285"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2021</w:t>
            </w:r>
          </w:p>
        </w:tc>
      </w:tr>
      <w:tr>
        <w:tblPrEx/>
        <w:trPr>
          <w:trHeight w:val="276" w:hRule="atLeast"/>
        </w:trPr>
        <w:tc>
          <w:tcPr>
            <w:tcW w:w="3003"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Outstanding Debt (Old + New)</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112,586</w:t>
            </w:r>
          </w:p>
        </w:tc>
        <w:tc>
          <w:tcPr>
            <w:tcW w:w="1131" w:type="dxa"/>
            <w:tcBorders/>
            <w:shd w:val="clear" w:color="auto" w:fill="auto"/>
            <w:noWrap/>
            <w:hideMark/>
          </w:tcPr>
          <w:p>
            <w:pPr>
              <w:pStyle w:val="style0"/>
              <w:spacing w:after="0" w:lineRule="auto" w:line="240"/>
              <w:jc w:val="right"/>
              <w:rPr>
                <w:rFonts w:cs="Calibri" w:eastAsia="Times New Roman"/>
                <w:color w:val="000000"/>
                <w:sz w:val="20"/>
                <w:szCs w:val="20"/>
              </w:rPr>
            </w:pPr>
            <w:r>
              <w:t>136,549</w:t>
            </w:r>
          </w:p>
        </w:tc>
        <w:tc>
          <w:tcPr>
            <w:tcW w:w="1270" w:type="dxa"/>
            <w:tcBorders/>
            <w:shd w:val="clear" w:color="auto" w:fill="auto"/>
            <w:noWrap/>
            <w:hideMark/>
          </w:tcPr>
          <w:p>
            <w:pPr>
              <w:pStyle w:val="style0"/>
              <w:spacing w:after="0" w:lineRule="auto" w:line="240"/>
              <w:jc w:val="right"/>
              <w:rPr>
                <w:rFonts w:cs="Calibri" w:eastAsia="Times New Roman"/>
                <w:color w:val="000000"/>
                <w:sz w:val="20"/>
                <w:szCs w:val="20"/>
              </w:rPr>
            </w:pPr>
            <w:r>
              <w:t>130,284</w:t>
            </w:r>
          </w:p>
        </w:tc>
        <w:tc>
          <w:tcPr>
            <w:tcW w:w="1277" w:type="dxa"/>
            <w:tcBorders/>
            <w:shd w:val="clear" w:color="auto" w:fill="auto"/>
            <w:noWrap/>
            <w:hideMark/>
          </w:tcPr>
          <w:p>
            <w:pPr>
              <w:pStyle w:val="style0"/>
              <w:spacing w:after="0" w:lineRule="auto" w:line="240"/>
              <w:jc w:val="right"/>
              <w:rPr>
                <w:rFonts w:cs="Calibri" w:eastAsia="Times New Roman"/>
                <w:color w:val="000000"/>
                <w:sz w:val="20"/>
                <w:szCs w:val="20"/>
              </w:rPr>
            </w:pPr>
            <w:r>
              <w:t>142,996</w:t>
            </w:r>
          </w:p>
        </w:tc>
        <w:tc>
          <w:tcPr>
            <w:tcW w:w="1285" w:type="dxa"/>
            <w:tcBorders/>
            <w:shd w:val="clear" w:color="auto" w:fill="auto"/>
            <w:noWrap/>
            <w:hideMark/>
          </w:tcPr>
          <w:p>
            <w:pPr>
              <w:pStyle w:val="style0"/>
              <w:spacing w:after="0" w:lineRule="auto" w:line="240"/>
              <w:jc w:val="right"/>
              <w:rPr>
                <w:rFonts w:cs="Calibri" w:eastAsia="Times New Roman"/>
                <w:color w:val="000000"/>
                <w:sz w:val="20"/>
                <w:szCs w:val="20"/>
              </w:rPr>
            </w:pPr>
            <w:r>
              <w:t>161,415</w:t>
            </w:r>
          </w:p>
        </w:tc>
      </w:tr>
      <w:tr>
        <w:tblPrEx/>
        <w:trPr>
          <w:trHeight w:val="276" w:hRule="atLeast"/>
        </w:trPr>
        <w:tc>
          <w:tcPr>
            <w:tcW w:w="3003"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External</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20,329</w:t>
            </w:r>
          </w:p>
        </w:tc>
        <w:tc>
          <w:tcPr>
            <w:tcW w:w="1131" w:type="dxa"/>
            <w:tcBorders/>
            <w:shd w:val="clear" w:color="auto" w:fill="auto"/>
            <w:noWrap/>
            <w:hideMark/>
          </w:tcPr>
          <w:p>
            <w:pPr>
              <w:pStyle w:val="style0"/>
              <w:spacing w:after="0" w:lineRule="auto" w:line="240"/>
              <w:jc w:val="right"/>
              <w:rPr>
                <w:rFonts w:cs="Calibri" w:eastAsia="Times New Roman"/>
                <w:color w:val="000000"/>
                <w:sz w:val="20"/>
                <w:szCs w:val="20"/>
              </w:rPr>
            </w:pPr>
            <w:r>
              <w:t>19,467</w:t>
            </w:r>
          </w:p>
        </w:tc>
        <w:tc>
          <w:tcPr>
            <w:tcW w:w="1270" w:type="dxa"/>
            <w:tcBorders/>
            <w:shd w:val="clear" w:color="auto" w:fill="auto"/>
            <w:noWrap/>
            <w:hideMark/>
          </w:tcPr>
          <w:p>
            <w:pPr>
              <w:pStyle w:val="style0"/>
              <w:spacing w:after="0" w:lineRule="auto" w:line="240"/>
              <w:jc w:val="right"/>
              <w:rPr>
                <w:rFonts w:cs="Calibri" w:eastAsia="Times New Roman"/>
                <w:color w:val="000000"/>
                <w:sz w:val="20"/>
                <w:szCs w:val="20"/>
              </w:rPr>
            </w:pPr>
            <w:r>
              <w:t>22,530</w:t>
            </w:r>
          </w:p>
        </w:tc>
        <w:tc>
          <w:tcPr>
            <w:tcW w:w="1277" w:type="dxa"/>
            <w:tcBorders/>
            <w:shd w:val="clear" w:color="auto" w:fill="auto"/>
            <w:noWrap/>
            <w:hideMark/>
          </w:tcPr>
          <w:p>
            <w:pPr>
              <w:pStyle w:val="style0"/>
              <w:spacing w:after="0" w:lineRule="auto" w:line="240"/>
              <w:jc w:val="right"/>
              <w:rPr>
                <w:rFonts w:cs="Calibri" w:eastAsia="Times New Roman"/>
                <w:color w:val="000000"/>
                <w:sz w:val="20"/>
                <w:szCs w:val="20"/>
              </w:rPr>
            </w:pPr>
            <w:r>
              <w:t>26,061</w:t>
            </w:r>
          </w:p>
        </w:tc>
        <w:tc>
          <w:tcPr>
            <w:tcW w:w="1285" w:type="dxa"/>
            <w:tcBorders/>
            <w:shd w:val="clear" w:color="auto" w:fill="auto"/>
            <w:noWrap/>
            <w:hideMark/>
          </w:tcPr>
          <w:p>
            <w:pPr>
              <w:pStyle w:val="style0"/>
              <w:spacing w:after="0" w:lineRule="auto" w:line="240"/>
              <w:jc w:val="right"/>
              <w:rPr>
                <w:rFonts w:cs="Calibri" w:eastAsia="Times New Roman"/>
                <w:color w:val="000000"/>
                <w:sz w:val="20"/>
                <w:szCs w:val="20"/>
              </w:rPr>
            </w:pPr>
            <w:r>
              <w:t>47,178</w:t>
            </w:r>
          </w:p>
        </w:tc>
      </w:tr>
      <w:tr>
        <w:tblPrEx/>
        <w:trPr>
          <w:trHeight w:val="276" w:hRule="atLeast"/>
        </w:trPr>
        <w:tc>
          <w:tcPr>
            <w:tcW w:w="3003"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Domestic</w:t>
            </w:r>
          </w:p>
        </w:tc>
        <w:tc>
          <w:tcPr>
            <w:tcW w:w="1134" w:type="dxa"/>
            <w:tcBorders/>
            <w:shd w:val="clear" w:color="auto" w:fill="auto"/>
            <w:noWrap/>
            <w:hideMark/>
          </w:tcPr>
          <w:p>
            <w:pPr>
              <w:pStyle w:val="style0"/>
              <w:spacing w:after="0" w:lineRule="auto" w:line="240"/>
              <w:jc w:val="right"/>
              <w:rPr>
                <w:rFonts w:cs="Calibri" w:eastAsia="Times New Roman"/>
                <w:color w:val="000000"/>
                <w:sz w:val="20"/>
                <w:szCs w:val="20"/>
              </w:rPr>
            </w:pPr>
            <w:r>
              <w:t>92,257</w:t>
            </w:r>
          </w:p>
        </w:tc>
        <w:tc>
          <w:tcPr>
            <w:tcW w:w="1131" w:type="dxa"/>
            <w:tcBorders/>
            <w:shd w:val="clear" w:color="auto" w:fill="auto"/>
            <w:noWrap/>
            <w:hideMark/>
          </w:tcPr>
          <w:p>
            <w:pPr>
              <w:pStyle w:val="style0"/>
              <w:spacing w:after="0" w:lineRule="auto" w:line="240"/>
              <w:jc w:val="right"/>
              <w:rPr>
                <w:rFonts w:cs="Calibri" w:eastAsia="Times New Roman"/>
                <w:color w:val="000000"/>
                <w:sz w:val="20"/>
                <w:szCs w:val="20"/>
              </w:rPr>
            </w:pPr>
            <w:r>
              <w:t>117,082</w:t>
            </w:r>
          </w:p>
        </w:tc>
        <w:tc>
          <w:tcPr>
            <w:tcW w:w="1270" w:type="dxa"/>
            <w:tcBorders/>
            <w:shd w:val="clear" w:color="auto" w:fill="auto"/>
            <w:noWrap/>
            <w:hideMark/>
          </w:tcPr>
          <w:p>
            <w:pPr>
              <w:pStyle w:val="style0"/>
              <w:spacing w:after="0" w:lineRule="auto" w:line="240"/>
              <w:jc w:val="right"/>
              <w:rPr>
                <w:rFonts w:cs="Calibri" w:eastAsia="Times New Roman"/>
                <w:color w:val="000000"/>
                <w:sz w:val="20"/>
                <w:szCs w:val="20"/>
              </w:rPr>
            </w:pPr>
            <w:r>
              <w:t>107,754</w:t>
            </w:r>
          </w:p>
        </w:tc>
        <w:tc>
          <w:tcPr>
            <w:tcW w:w="1277" w:type="dxa"/>
            <w:tcBorders/>
            <w:shd w:val="clear" w:color="auto" w:fill="auto"/>
            <w:noWrap/>
            <w:hideMark/>
          </w:tcPr>
          <w:p>
            <w:pPr>
              <w:pStyle w:val="style0"/>
              <w:spacing w:after="0" w:lineRule="auto" w:line="240"/>
              <w:jc w:val="right"/>
              <w:rPr>
                <w:rFonts w:cs="Calibri" w:eastAsia="Times New Roman"/>
                <w:color w:val="000000"/>
                <w:sz w:val="20"/>
                <w:szCs w:val="20"/>
              </w:rPr>
            </w:pPr>
            <w:r>
              <w:t>116,935</w:t>
            </w:r>
          </w:p>
        </w:tc>
        <w:tc>
          <w:tcPr>
            <w:tcW w:w="1285" w:type="dxa"/>
            <w:tcBorders/>
            <w:shd w:val="clear" w:color="auto" w:fill="auto"/>
            <w:noWrap/>
            <w:hideMark/>
          </w:tcPr>
          <w:p>
            <w:pPr>
              <w:pStyle w:val="style0"/>
              <w:spacing w:after="0" w:lineRule="auto" w:line="240"/>
              <w:jc w:val="right"/>
              <w:rPr>
                <w:rFonts w:cs="Calibri" w:eastAsia="Times New Roman"/>
                <w:color w:val="000000"/>
                <w:sz w:val="20"/>
                <w:szCs w:val="20"/>
              </w:rPr>
            </w:pPr>
            <w:r>
              <w:t>114,236</w:t>
            </w:r>
          </w:p>
        </w:tc>
      </w:tr>
    </w:tbl>
    <w:p>
      <w:pPr>
        <w:pStyle w:val="style0"/>
        <w:spacing w:lineRule="auto" w:line="360"/>
        <w:jc w:val="both"/>
        <w:rPr>
          <w:rFonts w:ascii="Tahoma" w:cs="Tahoma" w:hAnsi="Tahoma"/>
          <w:bCs/>
          <w:iCs/>
          <w:sz w:val="24"/>
          <w:szCs w:val="24"/>
        </w:rPr>
      </w:pPr>
    </w:p>
    <w:p>
      <w:pPr>
        <w:pStyle w:val="style0"/>
        <w:spacing w:lineRule="auto" w:line="360"/>
        <w:jc w:val="both"/>
        <w:rPr>
          <w:rFonts w:ascii="Tahoma" w:cs="Tahoma" w:hAnsi="Tahoma"/>
          <w:bCs/>
          <w:iCs/>
          <w:sz w:val="24"/>
          <w:szCs w:val="24"/>
        </w:rPr>
      </w:pPr>
      <w:r>
        <w:rPr>
          <w:noProof/>
        </w:rPr>
        <w:drawing>
          <wp:inline distL="0" distT="0" distB="0" distR="0">
            <wp:extent cx="5866130" cy="3286760"/>
            <wp:effectExtent l="0" t="0" r="1270" b="8890"/>
            <wp:docPr id="1029" name="Picture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8"/>
                    <pic:cNvPicPr/>
                  </pic:nvPicPr>
                  <pic:blipFill>
                    <a:blip r:embed="rId5" cstate="print"/>
                    <a:srcRect l="0" t="0" r="0" b="0"/>
                    <a:stretch/>
                  </pic:blipFill>
                  <pic:spPr>
                    <a:xfrm rot="0">
                      <a:off x="0" y="0"/>
                      <a:ext cx="5866130" cy="3286760"/>
                    </a:xfrm>
                    <a:prstGeom prst="rect"/>
                    <a:ln>
                      <a:noFill/>
                    </a:ln>
                  </pic:spPr>
                </pic:pic>
              </a:graphicData>
            </a:graphic>
          </wp:inline>
        </w:drawing>
      </w:r>
    </w:p>
    <w:p>
      <w:pPr>
        <w:pStyle w:val="style0"/>
        <w:spacing w:lineRule="auto" w:line="360"/>
        <w:jc w:val="both"/>
        <w:rPr>
          <w:rFonts w:ascii="Tahoma" w:cs="Tahoma" w:hAnsi="Tahoma"/>
          <w:bCs/>
          <w:sz w:val="24"/>
          <w:szCs w:val="24"/>
        </w:rPr>
      </w:pPr>
      <w:r>
        <w:rPr>
          <w:rFonts w:ascii="Tahoma" w:cs="Tahoma" w:hAnsi="Tahoma"/>
          <w:b/>
          <w:sz w:val="24"/>
          <w:szCs w:val="24"/>
        </w:rPr>
        <w:t>3.2.2</w:t>
      </w:r>
      <w:r>
        <w:rPr>
          <w:rFonts w:ascii="Tahoma" w:cs="Tahoma" w:hAnsi="Tahoma"/>
          <w:b/>
          <w:sz w:val="24"/>
          <w:szCs w:val="24"/>
        </w:rPr>
        <w:tab/>
      </w:r>
      <w:r>
        <w:rPr>
          <w:rFonts w:ascii="Tahoma" w:cs="Tahoma" w:hAnsi="Tahoma"/>
          <w:b/>
          <w:sz w:val="24"/>
          <w:szCs w:val="24"/>
        </w:rPr>
        <w:t>Debt composition</w:t>
      </w:r>
      <w:r>
        <w:rPr>
          <w:rFonts w:ascii="Tahoma" w:cs="Tahoma" w:hAnsi="Tahoma"/>
          <w:bCs/>
          <w:sz w:val="24"/>
          <w:szCs w:val="24"/>
        </w:rPr>
        <w:t xml:space="preserve"> - The main domestic debt port</w:t>
      </w:r>
      <w:r>
        <w:rPr>
          <w:rFonts w:ascii="Tahoma" w:cs="Tahoma" w:hAnsi="Tahoma"/>
          <w:bCs/>
          <w:sz w:val="24"/>
          <w:szCs w:val="24"/>
        </w:rPr>
        <w:t>folio consists of Bud</w:t>
      </w:r>
      <w:r>
        <w:rPr>
          <w:rFonts w:ascii="Tahoma" w:cs="Tahoma" w:hAnsi="Tahoma"/>
          <w:bCs/>
          <w:sz w:val="24"/>
          <w:szCs w:val="24"/>
        </w:rPr>
        <w:t xml:space="preserve">get Support Facility, </w:t>
      </w:r>
      <w:r>
        <w:rPr>
          <w:rFonts w:ascii="Tahoma" w:cs="Tahoma" w:hAnsi="Tahoma"/>
          <w:bCs/>
          <w:sz w:val="24"/>
          <w:szCs w:val="24"/>
        </w:rPr>
        <w:t xml:space="preserve">Salary Bail-out facility, </w:t>
      </w:r>
      <w:r>
        <w:rPr>
          <w:rFonts w:ascii="Tahoma" w:cs="Tahoma" w:hAnsi="Tahoma"/>
          <w:bCs/>
          <w:sz w:val="24"/>
          <w:szCs w:val="24"/>
        </w:rPr>
        <w:t>Excess Crude Account Backed Loan, Contractor’s Arrears and Pensions &amp; Gratuity arrears. While the External Debt includes World Bank (IDA and IFAD) and African Development Fund (</w:t>
      </w:r>
      <w:r>
        <w:rPr>
          <w:rFonts w:ascii="Tahoma" w:cs="Tahoma" w:hAnsi="Tahoma"/>
          <w:bCs/>
          <w:sz w:val="24"/>
          <w:szCs w:val="24"/>
        </w:rPr>
        <w:t>AfDF</w:t>
      </w:r>
      <w:r>
        <w:rPr>
          <w:rFonts w:ascii="Tahoma" w:cs="Tahoma" w:hAnsi="Tahoma"/>
          <w:bCs/>
          <w:sz w:val="24"/>
          <w:szCs w:val="24"/>
        </w:rPr>
        <w:t xml:space="preserve">). </w:t>
      </w:r>
      <w:r>
        <w:rPr>
          <w:rFonts w:ascii="Tahoma" w:cs="Tahoma" w:hAnsi="Tahoma"/>
          <w:bCs/>
          <w:sz w:val="24"/>
          <w:szCs w:val="24"/>
        </w:rPr>
        <w:t>T</w:t>
      </w:r>
      <w:r>
        <w:rPr>
          <w:rFonts w:ascii="Tahoma" w:cs="Tahoma" w:hAnsi="Tahoma"/>
          <w:bCs/>
          <w:sz w:val="24"/>
          <w:szCs w:val="24"/>
        </w:rPr>
        <w:t xml:space="preserve">he composition of external debt to domestic debt portfolio stood at </w:t>
      </w:r>
      <w:r>
        <w:rPr>
          <w:rFonts w:ascii="Tahoma" w:cs="Tahoma" w:hAnsi="Tahoma"/>
          <w:bCs/>
          <w:sz w:val="24"/>
          <w:szCs w:val="24"/>
        </w:rPr>
        <w:t>18.</w:t>
      </w:r>
      <w:r>
        <w:rPr>
          <w:rFonts w:ascii="Tahoma" w:cs="Tahoma" w:hAnsi="Tahoma"/>
          <w:bCs/>
          <w:sz w:val="24"/>
          <w:szCs w:val="24"/>
        </w:rPr>
        <w:t>23</w:t>
      </w:r>
      <w:r>
        <w:rPr>
          <w:rFonts w:ascii="Tahoma" w:cs="Tahoma" w:hAnsi="Tahoma"/>
          <w:bCs/>
          <w:sz w:val="24"/>
          <w:szCs w:val="24"/>
        </w:rPr>
        <w:t xml:space="preserve"> </w:t>
      </w:r>
      <w:r>
        <w:rPr>
          <w:rFonts w:ascii="Tahoma" w:cs="Tahoma" w:hAnsi="Tahoma"/>
          <w:bCs/>
          <w:sz w:val="24"/>
          <w:szCs w:val="24"/>
        </w:rPr>
        <w:t xml:space="preserve">percent to </w:t>
      </w:r>
      <w:r>
        <w:rPr>
          <w:rFonts w:ascii="Tahoma" w:cs="Tahoma" w:hAnsi="Tahoma"/>
          <w:bCs/>
          <w:sz w:val="24"/>
          <w:szCs w:val="24"/>
        </w:rPr>
        <w:t>81.</w:t>
      </w:r>
      <w:r>
        <w:rPr>
          <w:rFonts w:ascii="Tahoma" w:cs="Tahoma" w:hAnsi="Tahoma"/>
          <w:bCs/>
          <w:sz w:val="24"/>
          <w:szCs w:val="24"/>
        </w:rPr>
        <w:t>77</w:t>
      </w:r>
      <w:r>
        <w:rPr>
          <w:rFonts w:ascii="Tahoma" w:cs="Tahoma" w:hAnsi="Tahoma"/>
          <w:bCs/>
          <w:sz w:val="24"/>
          <w:szCs w:val="24"/>
        </w:rPr>
        <w:t xml:space="preserve"> </w:t>
      </w:r>
      <w:r>
        <w:rPr>
          <w:rFonts w:ascii="Tahoma" w:cs="Tahoma" w:hAnsi="Tahoma"/>
          <w:bCs/>
          <w:sz w:val="24"/>
          <w:szCs w:val="24"/>
        </w:rPr>
        <w:t>percent</w:t>
      </w:r>
      <w:r>
        <w:rPr>
          <w:rFonts w:ascii="Tahoma" w:cs="Tahoma" w:hAnsi="Tahoma"/>
          <w:bCs/>
          <w:sz w:val="24"/>
          <w:szCs w:val="24"/>
        </w:rPr>
        <w:t xml:space="preserve"> in 2020</w:t>
      </w:r>
      <w:r>
        <w:rPr>
          <w:rFonts w:ascii="Tahoma" w:cs="Tahoma" w:hAnsi="Tahoma"/>
          <w:bCs/>
          <w:sz w:val="24"/>
          <w:szCs w:val="24"/>
        </w:rPr>
        <w:t xml:space="preserve">, compared to debt composition of the external debt to domestic debt portfolio of </w:t>
      </w:r>
      <w:r>
        <w:rPr>
          <w:rFonts w:ascii="Tahoma" w:cs="Tahoma" w:hAnsi="Tahoma"/>
          <w:bCs/>
          <w:sz w:val="24"/>
          <w:szCs w:val="24"/>
        </w:rPr>
        <w:t xml:space="preserve">29.23 </w:t>
      </w:r>
      <w:r>
        <w:rPr>
          <w:rFonts w:ascii="Tahoma" w:cs="Tahoma" w:hAnsi="Tahoma"/>
          <w:bCs/>
          <w:sz w:val="24"/>
          <w:szCs w:val="24"/>
        </w:rPr>
        <w:t xml:space="preserve">percent to </w:t>
      </w:r>
      <w:r>
        <w:rPr>
          <w:rFonts w:ascii="Tahoma" w:cs="Tahoma" w:hAnsi="Tahoma"/>
          <w:bCs/>
          <w:sz w:val="24"/>
          <w:szCs w:val="24"/>
        </w:rPr>
        <w:t xml:space="preserve">70.77 </w:t>
      </w:r>
      <w:r>
        <w:rPr>
          <w:rFonts w:ascii="Tahoma" w:cs="Tahoma" w:hAnsi="Tahoma"/>
          <w:bCs/>
          <w:sz w:val="24"/>
          <w:szCs w:val="24"/>
        </w:rPr>
        <w:t>percent in 20</w:t>
      </w:r>
      <w:r>
        <w:rPr>
          <w:rFonts w:ascii="Tahoma" w:cs="Tahoma" w:hAnsi="Tahoma"/>
          <w:bCs/>
          <w:sz w:val="24"/>
          <w:szCs w:val="24"/>
        </w:rPr>
        <w:t>21</w:t>
      </w:r>
      <w:r>
        <w:rPr>
          <w:rFonts w:ascii="Tahoma" w:cs="Tahoma" w:hAnsi="Tahoma"/>
          <w:bCs/>
          <w:sz w:val="24"/>
          <w:szCs w:val="24"/>
        </w:rPr>
        <w:t>.</w:t>
      </w:r>
    </w:p>
    <w:p>
      <w:pPr>
        <w:pStyle w:val="style0"/>
        <w:spacing w:lineRule="auto" w:line="360"/>
        <w:jc w:val="both"/>
        <w:rPr>
          <w:rFonts w:ascii="Tahoma" w:cs="Tahoma" w:hAnsi="Tahoma"/>
          <w:bCs/>
          <w:sz w:val="24"/>
          <w:szCs w:val="24"/>
        </w:rPr>
      </w:pPr>
      <w:r>
        <w:rPr>
          <w:rFonts w:ascii="Tahoma" w:cs="Tahoma" w:hAnsi="Tahoma"/>
          <w:b/>
          <w:sz w:val="24"/>
          <w:szCs w:val="24"/>
        </w:rPr>
        <w:t>3.2.3</w:t>
      </w:r>
      <w:r>
        <w:rPr>
          <w:rFonts w:ascii="Tahoma" w:cs="Tahoma" w:hAnsi="Tahoma"/>
          <w:b/>
          <w:sz w:val="24"/>
          <w:szCs w:val="24"/>
        </w:rPr>
        <w:tab/>
      </w:r>
      <w:r>
        <w:rPr>
          <w:rFonts w:ascii="Tahoma" w:cs="Tahoma" w:hAnsi="Tahoma"/>
          <w:b/>
          <w:sz w:val="24"/>
          <w:szCs w:val="24"/>
        </w:rPr>
        <w:t>Debt Service</w:t>
      </w:r>
      <w:r>
        <w:rPr>
          <w:rFonts w:ascii="Tahoma" w:cs="Tahoma" w:hAnsi="Tahoma"/>
          <w:bCs/>
          <w:sz w:val="24"/>
          <w:szCs w:val="24"/>
        </w:rPr>
        <w:t xml:space="preserve"> amounted to </w:t>
      </w:r>
      <w:r>
        <w:rPr>
          <w:rFonts w:ascii="Tahoma" w:cs="Tahoma" w:hAnsi="Tahoma"/>
          <w:bCs/>
          <w:sz w:val="24"/>
          <w:szCs w:val="24"/>
        </w:rPr>
        <w:t>Total debt service that comprises the interest payment and principal repayment stood at N39,574 million in 2017, N14.637 million in 2018, N42,919 million in 2019</w:t>
      </w:r>
      <w:r>
        <w:rPr>
          <w:rFonts w:ascii="Tahoma" w:cs="Tahoma" w:hAnsi="Tahoma"/>
          <w:bCs/>
          <w:sz w:val="24"/>
          <w:szCs w:val="24"/>
        </w:rPr>
        <w:t xml:space="preserve">, </w:t>
      </w:r>
      <w:r>
        <w:rPr>
          <w:rFonts w:ascii="Tahoma" w:cs="Tahoma" w:hAnsi="Tahoma"/>
          <w:bCs/>
          <w:sz w:val="24"/>
          <w:szCs w:val="24"/>
        </w:rPr>
        <w:t>N38,679 million in 2020</w:t>
      </w:r>
      <w:r>
        <w:rPr>
          <w:rFonts w:ascii="Tahoma" w:cs="Tahoma" w:hAnsi="Tahoma"/>
          <w:bCs/>
          <w:sz w:val="24"/>
          <w:szCs w:val="24"/>
        </w:rPr>
        <w:t xml:space="preserve"> and N63,443 million in 2021</w:t>
      </w:r>
      <w:r>
        <w:rPr>
          <w:rFonts w:ascii="Tahoma" w:cs="Tahoma" w:hAnsi="Tahoma"/>
          <w:bCs/>
          <w:sz w:val="24"/>
          <w:szCs w:val="24"/>
        </w:rPr>
        <w:t>, respectively</w:t>
      </w:r>
      <w:r>
        <w:rPr>
          <w:rFonts w:ascii="Tahoma" w:cs="Tahoma" w:hAnsi="Tahoma"/>
          <w:bCs/>
          <w:sz w:val="24"/>
          <w:szCs w:val="24"/>
        </w:rPr>
        <w:t xml:space="preserve">. </w:t>
      </w:r>
    </w:p>
    <w:p>
      <w:pPr>
        <w:pStyle w:val="style0"/>
        <w:spacing w:lineRule="auto" w:line="360"/>
        <w:jc w:val="both"/>
        <w:rPr>
          <w:rFonts w:ascii="Tahoma" w:cs="Tahoma" w:hAnsi="Tahoma"/>
          <w:bCs/>
          <w:sz w:val="24"/>
          <w:szCs w:val="24"/>
        </w:rPr>
      </w:pPr>
      <w:r>
        <w:rPr>
          <w:rFonts w:ascii="Tahoma" w:cs="Tahoma" w:hAnsi="Tahoma"/>
          <w:bCs/>
          <w:sz w:val="24"/>
          <w:szCs w:val="24"/>
        </w:rPr>
        <w:t xml:space="preserve">The principal repayment </w:t>
      </w:r>
      <w:r>
        <w:rPr>
          <w:rFonts w:ascii="Tahoma" w:cs="Tahoma" w:hAnsi="Tahoma"/>
          <w:bCs/>
          <w:sz w:val="24"/>
          <w:szCs w:val="24"/>
        </w:rPr>
        <w:t>stood at N2</w:t>
      </w:r>
      <w:r>
        <w:rPr>
          <w:rFonts w:ascii="Tahoma" w:cs="Tahoma" w:hAnsi="Tahoma"/>
          <w:bCs/>
          <w:sz w:val="24"/>
          <w:szCs w:val="24"/>
        </w:rPr>
        <w:t>3</w:t>
      </w:r>
      <w:r>
        <w:rPr>
          <w:rFonts w:ascii="Tahoma" w:cs="Tahoma" w:hAnsi="Tahoma"/>
          <w:bCs/>
          <w:sz w:val="24"/>
          <w:szCs w:val="24"/>
        </w:rPr>
        <w:t>,744 million</w:t>
      </w:r>
      <w:r>
        <w:rPr>
          <w:rFonts w:ascii="Tahoma" w:cs="Tahoma" w:hAnsi="Tahoma"/>
          <w:bCs/>
          <w:sz w:val="24"/>
          <w:szCs w:val="24"/>
        </w:rPr>
        <w:t xml:space="preserve"> in 2017</w:t>
      </w:r>
      <w:r>
        <w:rPr>
          <w:rFonts w:ascii="Tahoma" w:cs="Tahoma" w:hAnsi="Tahoma"/>
          <w:bCs/>
          <w:sz w:val="24"/>
          <w:szCs w:val="24"/>
        </w:rPr>
        <w:t>, N12,961 million in 2018, N39,232 million in 2019</w:t>
      </w:r>
      <w:r>
        <w:rPr>
          <w:rFonts w:ascii="Tahoma" w:cs="Tahoma" w:hAnsi="Tahoma"/>
          <w:bCs/>
          <w:sz w:val="24"/>
          <w:szCs w:val="24"/>
        </w:rPr>
        <w:t xml:space="preserve">, </w:t>
      </w:r>
      <w:r>
        <w:rPr>
          <w:rFonts w:ascii="Tahoma" w:cs="Tahoma" w:hAnsi="Tahoma"/>
          <w:bCs/>
          <w:sz w:val="24"/>
          <w:szCs w:val="24"/>
        </w:rPr>
        <w:t xml:space="preserve">N35,521 million </w:t>
      </w:r>
      <w:r>
        <w:rPr>
          <w:rFonts w:ascii="Tahoma" w:cs="Tahoma" w:hAnsi="Tahoma"/>
          <w:bCs/>
          <w:sz w:val="24"/>
          <w:szCs w:val="24"/>
        </w:rPr>
        <w:t xml:space="preserve">in 2020 and N60,806 million in 2021, </w:t>
      </w:r>
      <w:r>
        <w:rPr>
          <w:rFonts w:ascii="Tahoma" w:cs="Tahoma" w:hAnsi="Tahoma"/>
          <w:bCs/>
          <w:sz w:val="24"/>
          <w:szCs w:val="24"/>
        </w:rPr>
        <w:t>respectively.</w:t>
      </w:r>
    </w:p>
    <w:tbl>
      <w:tblPr>
        <w:tblW w:w="92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1"/>
        <w:gridCol w:w="1279"/>
        <w:gridCol w:w="1279"/>
        <w:gridCol w:w="1279"/>
        <w:gridCol w:w="1279"/>
        <w:gridCol w:w="1279"/>
      </w:tblGrid>
      <w:tr>
        <w:trPr>
          <w:trHeight w:val="276" w:hRule="atLeast"/>
        </w:trPr>
        <w:tc>
          <w:tcPr>
            <w:tcW w:w="2861" w:type="dxa"/>
            <w:tcBorders/>
            <w:shd w:val="clear" w:color="auto" w:fill="92d050"/>
            <w:noWrap/>
            <w:vAlign w:val="bottom"/>
            <w:hideMark/>
          </w:tcPr>
          <w:p>
            <w:pPr>
              <w:pStyle w:val="style0"/>
              <w:spacing w:after="0" w:lineRule="auto" w:line="240"/>
              <w:rPr>
                <w:rFonts w:cs="Calibri" w:eastAsia="Times New Roman"/>
                <w:b/>
                <w:bCs/>
                <w:sz w:val="20"/>
                <w:szCs w:val="20"/>
              </w:rPr>
            </w:pPr>
            <w:r>
              <w:rPr>
                <w:rFonts w:cs="Calibri" w:eastAsia="Times New Roman"/>
                <w:b/>
                <w:bCs/>
                <w:sz w:val="20"/>
                <w:szCs w:val="20"/>
              </w:rPr>
              <w:t>Principal Repayment</w:t>
            </w:r>
          </w:p>
        </w:tc>
        <w:tc>
          <w:tcPr>
            <w:tcW w:w="127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2017</w:t>
            </w:r>
          </w:p>
        </w:tc>
        <w:tc>
          <w:tcPr>
            <w:tcW w:w="127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2018</w:t>
            </w:r>
          </w:p>
        </w:tc>
        <w:tc>
          <w:tcPr>
            <w:tcW w:w="127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2019</w:t>
            </w:r>
          </w:p>
        </w:tc>
        <w:tc>
          <w:tcPr>
            <w:tcW w:w="127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2020</w:t>
            </w:r>
          </w:p>
        </w:tc>
        <w:tc>
          <w:tcPr>
            <w:tcW w:w="1279" w:type="dxa"/>
            <w:tcBorders/>
            <w:shd w:val="clear" w:color="auto" w:fill="92d050"/>
            <w:noWrap/>
            <w:hideMark/>
          </w:tcPr>
          <w:p>
            <w:pPr>
              <w:pStyle w:val="style0"/>
              <w:spacing w:after="0" w:lineRule="auto" w:line="240"/>
              <w:jc w:val="right"/>
              <w:rPr>
                <w:rFonts w:cs="Calibri" w:eastAsia="Times New Roman"/>
                <w:b/>
                <w:bCs/>
                <w:color w:val="000000"/>
                <w:sz w:val="20"/>
                <w:szCs w:val="20"/>
              </w:rPr>
            </w:pPr>
            <w:r>
              <w:t>2021</w:t>
            </w:r>
          </w:p>
        </w:tc>
      </w:tr>
      <w:tr>
        <w:tblPrEx/>
        <w:trPr>
          <w:trHeight w:val="276" w:hRule="atLeast"/>
        </w:trPr>
        <w:tc>
          <w:tcPr>
            <w:tcW w:w="2861"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Principal Repayment</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36,744</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12,962</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39,232</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35,526</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60,806</w:t>
            </w:r>
          </w:p>
        </w:tc>
      </w:tr>
      <w:tr>
        <w:tblPrEx/>
        <w:trPr>
          <w:trHeight w:val="276" w:hRule="atLeast"/>
        </w:trPr>
        <w:tc>
          <w:tcPr>
            <w:tcW w:w="2861"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External</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435</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545</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762</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914</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998</w:t>
            </w:r>
          </w:p>
        </w:tc>
      </w:tr>
      <w:tr>
        <w:tblPrEx/>
        <w:trPr>
          <w:trHeight w:val="276" w:hRule="atLeast"/>
        </w:trPr>
        <w:tc>
          <w:tcPr>
            <w:tcW w:w="2861" w:type="dxa"/>
            <w:tcBorders/>
            <w:shd w:val="clear" w:color="auto" w:fill="auto"/>
            <w:noWrap/>
            <w:vAlign w:val="bottom"/>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Domestic</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36,310</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12,417</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38,470</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34,612</w:t>
            </w:r>
          </w:p>
        </w:tc>
        <w:tc>
          <w:tcPr>
            <w:tcW w:w="1279" w:type="dxa"/>
            <w:tcBorders/>
            <w:shd w:val="clear" w:color="auto" w:fill="auto"/>
            <w:noWrap/>
            <w:hideMark/>
          </w:tcPr>
          <w:p>
            <w:pPr>
              <w:pStyle w:val="style0"/>
              <w:spacing w:after="0" w:lineRule="auto" w:line="240"/>
              <w:jc w:val="right"/>
              <w:rPr>
                <w:rFonts w:cs="Calibri" w:eastAsia="Times New Roman"/>
                <w:color w:val="000000"/>
                <w:sz w:val="20"/>
                <w:szCs w:val="20"/>
              </w:rPr>
            </w:pPr>
            <w:r>
              <w:t>59,808</w:t>
            </w:r>
          </w:p>
        </w:tc>
      </w:tr>
    </w:tbl>
    <w:p>
      <w:pPr>
        <w:pStyle w:val="style179"/>
        <w:spacing w:lineRule="auto" w:line="360"/>
        <w:ind w:left="567"/>
        <w:jc w:val="both"/>
        <w:rPr>
          <w:rFonts w:ascii="Tahoma" w:cs="Tahoma" w:hAnsi="Tahoma"/>
          <w:bCs/>
          <w:sz w:val="24"/>
          <w:szCs w:val="24"/>
        </w:rPr>
      </w:pPr>
    </w:p>
    <w:p>
      <w:pPr>
        <w:pStyle w:val="style0"/>
        <w:spacing w:lineRule="auto" w:line="360"/>
        <w:jc w:val="both"/>
        <w:rPr>
          <w:rFonts w:ascii="Tahoma" w:cs="Tahoma" w:hAnsi="Tahoma"/>
          <w:bCs/>
          <w:sz w:val="24"/>
          <w:szCs w:val="24"/>
        </w:rPr>
      </w:pPr>
      <w:r>
        <w:rPr>
          <w:noProof/>
        </w:rPr>
        <w:drawing>
          <wp:inline distL="0" distT="0" distB="0" distR="0">
            <wp:extent cx="5866130" cy="2965938"/>
            <wp:effectExtent l="0" t="0" r="1270" b="6350"/>
            <wp:docPr id="1030"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6" cstate="print"/>
                    <a:srcRect l="0" t="0" r="0" b="0"/>
                    <a:stretch/>
                  </pic:blipFill>
                  <pic:spPr>
                    <a:xfrm rot="0">
                      <a:off x="0" y="0"/>
                      <a:ext cx="5866130" cy="2965938"/>
                    </a:xfrm>
                    <a:prstGeom prst="rect"/>
                    <a:ln>
                      <a:noFill/>
                    </a:ln>
                  </pic:spPr>
                </pic:pic>
              </a:graphicData>
            </a:graphic>
          </wp:inline>
        </w:drawing>
      </w:r>
    </w:p>
    <w:p>
      <w:pPr>
        <w:pStyle w:val="style0"/>
        <w:spacing w:lineRule="auto" w:line="360"/>
        <w:jc w:val="both"/>
        <w:rPr>
          <w:rFonts w:ascii="Tahoma" w:cs="Tahoma" w:hAnsi="Tahoma"/>
          <w:bCs/>
          <w:sz w:val="24"/>
          <w:szCs w:val="24"/>
        </w:rPr>
      </w:pPr>
      <w:r>
        <w:rPr>
          <w:rFonts w:ascii="Tahoma" w:cs="Tahoma" w:hAnsi="Tahoma"/>
          <w:bCs/>
          <w:sz w:val="24"/>
          <w:szCs w:val="24"/>
        </w:rPr>
        <w:t>Interest repayment stood at N2,830 million in 2017, N1,675 million in 2018, N3,687 million in 2019</w:t>
      </w:r>
      <w:r>
        <w:rPr>
          <w:rFonts w:ascii="Tahoma" w:cs="Tahoma" w:hAnsi="Tahoma"/>
          <w:bCs/>
          <w:sz w:val="24"/>
          <w:szCs w:val="24"/>
        </w:rPr>
        <w:t xml:space="preserve">, </w:t>
      </w:r>
      <w:r>
        <w:rPr>
          <w:rFonts w:ascii="Tahoma" w:cs="Tahoma" w:hAnsi="Tahoma"/>
          <w:bCs/>
          <w:sz w:val="24"/>
          <w:szCs w:val="24"/>
        </w:rPr>
        <w:t>N3,158 million</w:t>
      </w:r>
      <w:r>
        <w:rPr>
          <w:rFonts w:ascii="Tahoma" w:cs="Tahoma" w:hAnsi="Tahoma"/>
          <w:bCs/>
          <w:sz w:val="24"/>
          <w:szCs w:val="24"/>
        </w:rPr>
        <w:t xml:space="preserve"> in 2020 and N2,637 million in 2021,</w:t>
      </w:r>
      <w:r>
        <w:rPr>
          <w:rFonts w:ascii="Tahoma" w:cs="Tahoma" w:hAnsi="Tahoma"/>
          <w:bCs/>
          <w:sz w:val="24"/>
          <w:szCs w:val="24"/>
        </w:rPr>
        <w:t xml:space="preserve"> respectively.</w:t>
      </w:r>
    </w:p>
    <w:tbl>
      <w:tblPr>
        <w:tblW w:w="92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36"/>
        <w:gridCol w:w="1120"/>
        <w:gridCol w:w="1120"/>
        <w:gridCol w:w="1120"/>
        <w:gridCol w:w="1120"/>
        <w:gridCol w:w="1120"/>
      </w:tblGrid>
      <w:tr>
        <w:trPr>
          <w:trHeight w:val="276" w:hRule="atLeast"/>
        </w:trPr>
        <w:tc>
          <w:tcPr>
            <w:tcW w:w="3636" w:type="dxa"/>
            <w:tcBorders/>
            <w:shd w:val="clear" w:color="auto" w:fill="92d050"/>
            <w:noWrap/>
            <w:vAlign w:val="center"/>
            <w:hideMark/>
          </w:tcPr>
          <w:p>
            <w:pPr>
              <w:pStyle w:val="style0"/>
              <w:spacing w:after="0" w:lineRule="auto" w:line="240"/>
              <w:jc w:val="center"/>
              <w:rPr>
                <w:rFonts w:cs="Calibri" w:eastAsia="Times New Roman"/>
                <w:b/>
                <w:bCs/>
                <w:sz w:val="20"/>
                <w:szCs w:val="20"/>
              </w:rPr>
            </w:pPr>
            <w:r>
              <w:rPr>
                <w:rFonts w:cs="Calibri" w:eastAsia="Times New Roman"/>
                <w:b/>
                <w:bCs/>
                <w:sz w:val="20"/>
                <w:szCs w:val="20"/>
              </w:rPr>
              <w:t>Interest Payment</w:t>
            </w:r>
          </w:p>
        </w:tc>
        <w:tc>
          <w:tcPr>
            <w:tcW w:w="1120" w:type="dxa"/>
            <w:tcBorders/>
            <w:shd w:val="clear" w:color="auto" w:fill="92d050"/>
            <w:noWrap/>
            <w:hideMark/>
          </w:tcPr>
          <w:p>
            <w:pPr>
              <w:pStyle w:val="style0"/>
              <w:spacing w:after="0" w:lineRule="auto" w:line="240"/>
              <w:jc w:val="center"/>
              <w:rPr>
                <w:rFonts w:cs="Calibri" w:eastAsia="Times New Roman"/>
                <w:b/>
                <w:bCs/>
                <w:color w:val="000000"/>
                <w:sz w:val="20"/>
                <w:szCs w:val="20"/>
              </w:rPr>
            </w:pPr>
            <w:r>
              <w:t>2017</w:t>
            </w:r>
          </w:p>
        </w:tc>
        <w:tc>
          <w:tcPr>
            <w:tcW w:w="1120" w:type="dxa"/>
            <w:tcBorders/>
            <w:shd w:val="clear" w:color="auto" w:fill="92d050"/>
            <w:noWrap/>
            <w:hideMark/>
          </w:tcPr>
          <w:p>
            <w:pPr>
              <w:pStyle w:val="style0"/>
              <w:spacing w:after="0" w:lineRule="auto" w:line="240"/>
              <w:jc w:val="center"/>
              <w:rPr>
                <w:rFonts w:cs="Calibri" w:eastAsia="Times New Roman"/>
                <w:b/>
                <w:bCs/>
                <w:color w:val="000000"/>
                <w:sz w:val="20"/>
                <w:szCs w:val="20"/>
              </w:rPr>
            </w:pPr>
            <w:r>
              <w:t>2018</w:t>
            </w:r>
          </w:p>
        </w:tc>
        <w:tc>
          <w:tcPr>
            <w:tcW w:w="1120" w:type="dxa"/>
            <w:tcBorders/>
            <w:shd w:val="clear" w:color="auto" w:fill="92d050"/>
            <w:noWrap/>
            <w:hideMark/>
          </w:tcPr>
          <w:p>
            <w:pPr>
              <w:pStyle w:val="style0"/>
              <w:spacing w:after="0" w:lineRule="auto" w:line="240"/>
              <w:jc w:val="center"/>
              <w:rPr>
                <w:rFonts w:cs="Calibri" w:eastAsia="Times New Roman"/>
                <w:b/>
                <w:bCs/>
                <w:color w:val="000000"/>
                <w:sz w:val="20"/>
                <w:szCs w:val="20"/>
              </w:rPr>
            </w:pPr>
            <w:r>
              <w:t>2019</w:t>
            </w:r>
          </w:p>
        </w:tc>
        <w:tc>
          <w:tcPr>
            <w:tcW w:w="1120" w:type="dxa"/>
            <w:tcBorders/>
            <w:shd w:val="clear" w:color="auto" w:fill="92d050"/>
            <w:noWrap/>
            <w:hideMark/>
          </w:tcPr>
          <w:p>
            <w:pPr>
              <w:pStyle w:val="style0"/>
              <w:spacing w:after="0" w:lineRule="auto" w:line="240"/>
              <w:jc w:val="center"/>
              <w:rPr>
                <w:rFonts w:cs="Calibri" w:eastAsia="Times New Roman"/>
                <w:b/>
                <w:bCs/>
                <w:color w:val="000000"/>
                <w:sz w:val="20"/>
                <w:szCs w:val="20"/>
              </w:rPr>
            </w:pPr>
            <w:r>
              <w:t>2020</w:t>
            </w:r>
          </w:p>
        </w:tc>
        <w:tc>
          <w:tcPr>
            <w:tcW w:w="1120" w:type="dxa"/>
            <w:tcBorders/>
            <w:shd w:val="clear" w:color="auto" w:fill="92d050"/>
            <w:noWrap/>
            <w:hideMark/>
          </w:tcPr>
          <w:p>
            <w:pPr>
              <w:pStyle w:val="style0"/>
              <w:spacing w:after="0" w:lineRule="auto" w:line="240"/>
              <w:jc w:val="center"/>
              <w:rPr>
                <w:rFonts w:cs="Calibri" w:eastAsia="Times New Roman"/>
                <w:b/>
                <w:bCs/>
                <w:color w:val="000000"/>
                <w:sz w:val="20"/>
                <w:szCs w:val="20"/>
              </w:rPr>
            </w:pPr>
            <w:r>
              <w:t>2021</w:t>
            </w:r>
          </w:p>
        </w:tc>
      </w:tr>
      <w:tr>
        <w:tblPrEx/>
        <w:trPr>
          <w:trHeight w:val="276" w:hRule="atLeast"/>
        </w:trPr>
        <w:tc>
          <w:tcPr>
            <w:tcW w:w="3636" w:type="dxa"/>
            <w:tcBorders/>
            <w:shd w:val="clear" w:color="auto" w:fill="auto"/>
            <w:noWrap/>
            <w:vAlign w:val="center"/>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Interest Payment</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2,830</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1,675</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3,687</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3,159</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2,637</w:t>
            </w:r>
          </w:p>
        </w:tc>
      </w:tr>
      <w:tr>
        <w:tblPrEx/>
        <w:trPr>
          <w:trHeight w:val="276" w:hRule="atLeast"/>
        </w:trPr>
        <w:tc>
          <w:tcPr>
            <w:tcW w:w="3636" w:type="dxa"/>
            <w:tcBorders/>
            <w:shd w:val="clear" w:color="auto" w:fill="auto"/>
            <w:noWrap/>
            <w:vAlign w:val="center"/>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External</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13</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153</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155</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171</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207</w:t>
            </w:r>
          </w:p>
        </w:tc>
      </w:tr>
      <w:tr>
        <w:tblPrEx/>
        <w:trPr>
          <w:trHeight w:val="276" w:hRule="atLeast"/>
        </w:trPr>
        <w:tc>
          <w:tcPr>
            <w:tcW w:w="3636" w:type="dxa"/>
            <w:tcBorders/>
            <w:shd w:val="clear" w:color="auto" w:fill="auto"/>
            <w:noWrap/>
            <w:vAlign w:val="center"/>
            <w:hideMark/>
          </w:tcPr>
          <w:p>
            <w:pPr>
              <w:pStyle w:val="style0"/>
              <w:spacing w:after="0" w:lineRule="auto" w:line="240"/>
              <w:rPr>
                <w:rFonts w:cs="Calibri" w:eastAsia="Times New Roman"/>
                <w:color w:val="000000"/>
                <w:sz w:val="20"/>
                <w:szCs w:val="20"/>
              </w:rPr>
            </w:pPr>
            <w:r>
              <w:rPr>
                <w:rFonts w:cs="Calibri" w:eastAsia="Times New Roman"/>
                <w:color w:val="000000"/>
                <w:sz w:val="20"/>
                <w:szCs w:val="20"/>
              </w:rPr>
              <w:t>Domestic</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2,818</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1,522</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3,532</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2,987</w:t>
            </w:r>
          </w:p>
        </w:tc>
        <w:tc>
          <w:tcPr>
            <w:tcW w:w="1120" w:type="dxa"/>
            <w:tcBorders/>
            <w:shd w:val="clear" w:color="auto" w:fill="auto"/>
            <w:noWrap/>
            <w:hideMark/>
          </w:tcPr>
          <w:p>
            <w:pPr>
              <w:pStyle w:val="style0"/>
              <w:spacing w:after="0" w:lineRule="auto" w:line="240"/>
              <w:jc w:val="right"/>
              <w:rPr>
                <w:rFonts w:cs="Calibri" w:eastAsia="Times New Roman"/>
                <w:color w:val="000000"/>
                <w:sz w:val="20"/>
                <w:szCs w:val="20"/>
              </w:rPr>
            </w:pPr>
            <w:r>
              <w:t>2,430</w:t>
            </w:r>
          </w:p>
        </w:tc>
      </w:tr>
    </w:tbl>
    <w:p>
      <w:pPr>
        <w:pStyle w:val="style0"/>
        <w:spacing w:lineRule="auto" w:line="360"/>
        <w:jc w:val="both"/>
        <w:rPr>
          <w:rFonts w:ascii="Tahoma" w:cs="Tahoma" w:hAnsi="Tahoma"/>
          <w:bCs/>
          <w:sz w:val="24"/>
          <w:szCs w:val="24"/>
        </w:rPr>
      </w:pPr>
    </w:p>
    <w:p>
      <w:pPr>
        <w:pStyle w:val="style0"/>
        <w:spacing w:lineRule="auto" w:line="360"/>
        <w:jc w:val="both"/>
        <w:rPr>
          <w:rFonts w:ascii="Tahoma" w:cs="Tahoma" w:hAnsi="Tahoma"/>
          <w:bCs/>
          <w:sz w:val="24"/>
          <w:szCs w:val="24"/>
        </w:rPr>
      </w:pPr>
      <w:r>
        <w:rPr>
          <w:noProof/>
        </w:rPr>
        <w:drawing>
          <wp:inline distL="0" distT="0" distB="0" distR="0">
            <wp:extent cx="6060831" cy="3082925"/>
            <wp:effectExtent l="0" t="0" r="0" b="3175"/>
            <wp:docPr id="1031"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cstate="print"/>
                    <a:srcRect l="0" t="0" r="0" b="0"/>
                    <a:stretch/>
                  </pic:blipFill>
                  <pic:spPr>
                    <a:xfrm rot="0">
                      <a:off x="0" y="0"/>
                      <a:ext cx="6060831" cy="3082925"/>
                    </a:xfrm>
                    <a:prstGeom prst="rect"/>
                    <a:ln>
                      <a:noFill/>
                    </a:ln>
                  </pic:spPr>
                </pic:pic>
              </a:graphicData>
            </a:graphic>
          </wp:inline>
        </w:drawing>
      </w:r>
    </w:p>
    <w:bookmarkStart w:id="3" w:name="_Toc116071686"/>
    <w:p>
      <w:pPr>
        <w:pStyle w:val="style1"/>
        <w:spacing w:before="0" w:lineRule="auto" w:line="360"/>
        <w:rPr>
          <w:rFonts w:ascii="Tahoma" w:cs="Tahoma" w:hAnsi="Tahoma"/>
          <w:b/>
          <w:bCs/>
          <w:color w:val="0070c0"/>
          <w:sz w:val="24"/>
          <w:szCs w:val="24"/>
        </w:rPr>
      </w:pPr>
      <w:r>
        <w:rPr>
          <w:rFonts w:ascii="Tahoma" w:cs="Tahoma" w:hAnsi="Tahoma"/>
          <w:b/>
          <w:bCs/>
          <w:color w:val="0070c0"/>
          <w:sz w:val="24"/>
          <w:szCs w:val="24"/>
        </w:rPr>
        <w:t>Chapter 4: Debt Sustainability Analysis</w:t>
      </w:r>
      <w:bookmarkEnd w:id="3"/>
    </w:p>
    <w:p>
      <w:pPr>
        <w:pStyle w:val="style0"/>
        <w:spacing w:lineRule="auto" w:line="360"/>
        <w:jc w:val="both"/>
        <w:rPr>
          <w:rFonts w:ascii="Tahoma" w:cs="Tahoma" w:hAnsi="Tahoma"/>
          <w:i/>
          <w:sz w:val="24"/>
          <w:szCs w:val="24"/>
        </w:rPr>
      </w:pPr>
      <w:r>
        <w:rPr>
          <w:rFonts w:ascii="Tahoma" w:cs="Tahoma" w:hAnsi="Tahoma"/>
          <w:i/>
          <w:sz w:val="24"/>
          <w:szCs w:val="24"/>
        </w:rPr>
        <w:t xml:space="preserve">“The concept of debt sustainability refers to the ability of the government to honor its future financial obligations. Since policies and institutions governing spending and taxation largely determine such obligations, debt sustainability ultimately refers to the ability of the government to maintain sound fiscal policies over time without having to introduce major budgetary or debt adjustments in the future. Conversely, fiscal policies are deemed unsustainable when they lead to excessive accumulation of public debt, which could eventually cause the government to take action to address the unwanted consequences of a heavy debt burden”. </w:t>
      </w:r>
    </w:p>
    <w:p>
      <w:pPr>
        <w:pStyle w:val="style0"/>
        <w:spacing w:after="0"/>
        <w:rPr>
          <w:rFonts w:ascii="Tahoma" w:cs="Tahoma" w:hAnsi="Tahoma"/>
          <w:b/>
          <w:bCs/>
          <w:i/>
          <w:sz w:val="24"/>
          <w:szCs w:val="24"/>
        </w:rPr>
      </w:pPr>
      <w:r>
        <w:rPr>
          <w:rFonts w:ascii="Tahoma" w:cs="Tahoma" w:hAnsi="Tahoma"/>
          <w:b/>
          <w:bCs/>
          <w:sz w:val="24"/>
          <w:szCs w:val="24"/>
        </w:rPr>
        <w:t>Table 1:</w:t>
      </w:r>
      <w:r>
        <w:rPr>
          <w:rFonts w:ascii="Tahoma" w:cs="Tahoma" w:hAnsi="Tahoma"/>
          <w:b/>
          <w:bCs/>
          <w:sz w:val="24"/>
          <w:szCs w:val="24"/>
        </w:rPr>
        <w:tab/>
      </w:r>
      <w:r>
        <w:rPr>
          <w:rFonts w:ascii="Tahoma" w:cs="Tahoma" w:hAnsi="Tahoma"/>
          <w:b/>
          <w:bCs/>
          <w:sz w:val="24"/>
          <w:szCs w:val="24"/>
        </w:rPr>
        <w:t>Kano</w:t>
      </w:r>
      <w:r>
        <w:rPr>
          <w:rFonts w:ascii="Tahoma" w:cs="Tahoma" w:hAnsi="Tahoma"/>
          <w:b/>
          <w:bCs/>
          <w:sz w:val="24"/>
          <w:szCs w:val="24"/>
        </w:rPr>
        <w:t xml:space="preserve"> State Deb</w:t>
      </w:r>
      <w:r>
        <w:rPr>
          <w:rFonts w:ascii="Tahoma" w:cs="Tahoma" w:hAnsi="Tahoma"/>
          <w:b/>
          <w:bCs/>
          <w:sz w:val="24"/>
          <w:szCs w:val="24"/>
        </w:rPr>
        <w:t>t burden indicators, 2017-2021</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350"/>
        <w:gridCol w:w="810"/>
        <w:gridCol w:w="810"/>
        <w:gridCol w:w="810"/>
        <w:gridCol w:w="810"/>
        <w:gridCol w:w="900"/>
      </w:tblGrid>
      <w:tr>
        <w:trPr/>
        <w:tc>
          <w:tcPr>
            <w:tcW w:w="3870" w:type="dxa"/>
            <w:tcBorders/>
            <w:shd w:val="clear" w:color="auto" w:fill="92d050"/>
            <w:vAlign w:val="center"/>
          </w:tcPr>
          <w:p>
            <w:pPr>
              <w:pStyle w:val="style179"/>
              <w:spacing w:after="0" w:lineRule="auto" w:line="276"/>
              <w:ind w:left="0"/>
              <w:jc w:val="center"/>
              <w:rPr>
                <w:rFonts w:ascii="Calibri" w:cs="Calibri" w:hAnsi="Calibri"/>
                <w:b/>
                <w:bCs/>
                <w:lang w:eastAsia="en-US"/>
              </w:rPr>
            </w:pPr>
            <w:r>
              <w:rPr>
                <w:rFonts w:ascii="Calibri" w:cs="Calibri" w:hAnsi="Calibri"/>
                <w:b/>
                <w:bCs/>
                <w:lang w:eastAsia="en-US"/>
              </w:rPr>
              <w:t>Indicators</w:t>
            </w:r>
          </w:p>
        </w:tc>
        <w:tc>
          <w:tcPr>
            <w:tcW w:w="1350" w:type="dxa"/>
            <w:tcBorders/>
            <w:shd w:val="clear" w:color="auto" w:fill="92d050"/>
            <w:vAlign w:val="center"/>
          </w:tcPr>
          <w:p>
            <w:pPr>
              <w:pStyle w:val="style179"/>
              <w:spacing w:after="0" w:lineRule="auto" w:line="276"/>
              <w:ind w:left="0"/>
              <w:jc w:val="center"/>
              <w:rPr>
                <w:rFonts w:ascii="Calibri" w:cs="Calibri" w:hAnsi="Calibri"/>
                <w:b/>
                <w:bCs/>
                <w:lang w:eastAsia="en-US"/>
              </w:rPr>
            </w:pPr>
            <w:r>
              <w:rPr>
                <w:rFonts w:ascii="Calibri" w:cs="Calibri" w:hAnsi="Calibri"/>
                <w:b/>
                <w:bCs/>
                <w:lang w:eastAsia="en-US"/>
              </w:rPr>
              <w:t>Thresholds</w:t>
            </w:r>
          </w:p>
        </w:tc>
        <w:tc>
          <w:tcPr>
            <w:tcW w:w="810" w:type="dxa"/>
            <w:tcBorders/>
            <w:shd w:val="clear" w:color="auto" w:fill="92d050"/>
            <w:vAlign w:val="center"/>
          </w:tcPr>
          <w:p>
            <w:pPr>
              <w:pStyle w:val="style179"/>
              <w:spacing w:after="0" w:lineRule="auto" w:line="276"/>
              <w:ind w:left="0"/>
              <w:jc w:val="center"/>
              <w:rPr>
                <w:rFonts w:ascii="Calibri" w:cs="Calibri" w:hAnsi="Calibri"/>
                <w:b/>
                <w:bCs/>
                <w:lang w:eastAsia="en-US"/>
              </w:rPr>
            </w:pPr>
            <w:r>
              <w:rPr>
                <w:rFonts w:ascii="Calibri" w:cs="Calibri" w:hAnsi="Calibri"/>
                <w:b/>
                <w:bCs/>
                <w:lang w:eastAsia="en-US"/>
              </w:rPr>
              <w:t>2017</w:t>
            </w:r>
          </w:p>
        </w:tc>
        <w:tc>
          <w:tcPr>
            <w:tcW w:w="810" w:type="dxa"/>
            <w:tcBorders/>
            <w:shd w:val="clear" w:color="auto" w:fill="92d050"/>
            <w:vAlign w:val="center"/>
          </w:tcPr>
          <w:p>
            <w:pPr>
              <w:pStyle w:val="style179"/>
              <w:spacing w:after="0" w:lineRule="auto" w:line="276"/>
              <w:ind w:left="0"/>
              <w:jc w:val="center"/>
              <w:rPr>
                <w:rFonts w:ascii="Calibri" w:cs="Calibri" w:hAnsi="Calibri"/>
                <w:b/>
                <w:bCs/>
                <w:lang w:eastAsia="en-US"/>
              </w:rPr>
            </w:pPr>
            <w:r>
              <w:rPr>
                <w:rFonts w:ascii="Calibri" w:cs="Calibri" w:hAnsi="Calibri"/>
                <w:b/>
                <w:bCs/>
                <w:lang w:eastAsia="en-US"/>
              </w:rPr>
              <w:t>2018</w:t>
            </w:r>
          </w:p>
        </w:tc>
        <w:tc>
          <w:tcPr>
            <w:tcW w:w="810" w:type="dxa"/>
            <w:tcBorders/>
            <w:shd w:val="clear" w:color="auto" w:fill="92d050"/>
            <w:vAlign w:val="center"/>
          </w:tcPr>
          <w:p>
            <w:pPr>
              <w:pStyle w:val="style179"/>
              <w:spacing w:after="0" w:lineRule="auto" w:line="276"/>
              <w:ind w:left="0"/>
              <w:jc w:val="center"/>
              <w:rPr>
                <w:rFonts w:ascii="Calibri" w:cs="Calibri" w:hAnsi="Calibri"/>
                <w:b/>
                <w:bCs/>
                <w:lang w:eastAsia="en-US"/>
              </w:rPr>
            </w:pPr>
            <w:r>
              <w:rPr>
                <w:rFonts w:ascii="Calibri" w:cs="Calibri" w:hAnsi="Calibri"/>
                <w:b/>
                <w:bCs/>
                <w:lang w:eastAsia="en-US"/>
              </w:rPr>
              <w:t>2019</w:t>
            </w:r>
          </w:p>
        </w:tc>
        <w:tc>
          <w:tcPr>
            <w:tcW w:w="810" w:type="dxa"/>
            <w:tcBorders/>
            <w:shd w:val="clear" w:color="auto" w:fill="92d050"/>
            <w:vAlign w:val="center"/>
          </w:tcPr>
          <w:p>
            <w:pPr>
              <w:pStyle w:val="style179"/>
              <w:spacing w:after="0" w:lineRule="auto" w:line="276"/>
              <w:ind w:left="0"/>
              <w:jc w:val="center"/>
              <w:rPr>
                <w:rFonts w:ascii="Calibri" w:cs="Calibri" w:hAnsi="Calibri"/>
                <w:b/>
                <w:bCs/>
                <w:lang w:eastAsia="en-US"/>
              </w:rPr>
            </w:pPr>
            <w:r>
              <w:rPr>
                <w:rFonts w:ascii="Calibri" w:cs="Calibri" w:hAnsi="Calibri"/>
                <w:b/>
                <w:bCs/>
                <w:lang w:eastAsia="en-US"/>
              </w:rPr>
              <w:t>2020</w:t>
            </w:r>
          </w:p>
        </w:tc>
        <w:tc>
          <w:tcPr>
            <w:tcW w:w="900" w:type="dxa"/>
            <w:tcBorders/>
            <w:shd w:val="clear" w:color="auto" w:fill="92d050"/>
            <w:vAlign w:val="center"/>
          </w:tcPr>
          <w:p>
            <w:pPr>
              <w:pStyle w:val="style179"/>
              <w:spacing w:after="0" w:lineRule="auto" w:line="276"/>
              <w:ind w:left="0"/>
              <w:jc w:val="center"/>
              <w:rPr>
                <w:rFonts w:ascii="Calibri" w:cs="Calibri" w:hAnsi="Calibri"/>
                <w:b/>
                <w:bCs/>
                <w:lang w:eastAsia="en-US"/>
              </w:rPr>
            </w:pPr>
            <w:r>
              <w:rPr>
                <w:rFonts w:ascii="Calibri" w:cs="Calibri" w:hAnsi="Calibri"/>
                <w:b/>
                <w:bCs/>
                <w:lang w:eastAsia="en-US"/>
              </w:rPr>
              <w:t>2021</w:t>
            </w:r>
          </w:p>
        </w:tc>
      </w:tr>
      <w:tr>
        <w:tblPrEx/>
        <w:trPr/>
        <w:tc>
          <w:tcPr>
            <w:tcW w:w="387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Debt as % of GDP</w:t>
            </w:r>
          </w:p>
        </w:tc>
        <w:tc>
          <w:tcPr>
            <w:tcW w:w="135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25%</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3.79</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4.54</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3.79</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3.97</w:t>
            </w:r>
          </w:p>
        </w:tc>
        <w:tc>
          <w:tcPr>
            <w:tcW w:w="90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3.84</w:t>
            </w:r>
          </w:p>
        </w:tc>
      </w:tr>
      <w:tr>
        <w:tblPrEx/>
        <w:trPr/>
        <w:tc>
          <w:tcPr>
            <w:tcW w:w="387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Debt as % of Revenue</w:t>
            </w:r>
          </w:p>
        </w:tc>
        <w:tc>
          <w:tcPr>
            <w:tcW w:w="135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200%</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93.44</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101.34</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85.26</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100.89</w:t>
            </w:r>
          </w:p>
        </w:tc>
        <w:tc>
          <w:tcPr>
            <w:tcW w:w="90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99.31</w:t>
            </w:r>
          </w:p>
        </w:tc>
      </w:tr>
      <w:tr>
        <w:tblPrEx/>
        <w:trPr/>
        <w:tc>
          <w:tcPr>
            <w:tcW w:w="387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Debt Service as % of Revenue</w:t>
            </w:r>
          </w:p>
        </w:tc>
        <w:tc>
          <w:tcPr>
            <w:tcW w:w="135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40%</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32.85</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10.86</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28.09</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27.29</w:t>
            </w:r>
          </w:p>
        </w:tc>
        <w:tc>
          <w:tcPr>
            <w:tcW w:w="90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39.03</w:t>
            </w:r>
          </w:p>
        </w:tc>
      </w:tr>
      <w:tr>
        <w:tblPrEx/>
        <w:trPr/>
        <w:tc>
          <w:tcPr>
            <w:tcW w:w="387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Personnel Cost as % of Revenue</w:t>
            </w:r>
          </w:p>
        </w:tc>
        <w:tc>
          <w:tcPr>
            <w:tcW w:w="135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60%</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38.75</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41.61</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34.23</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40.07</w:t>
            </w:r>
          </w:p>
        </w:tc>
        <w:tc>
          <w:tcPr>
            <w:tcW w:w="90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38.01</w:t>
            </w:r>
          </w:p>
        </w:tc>
      </w:tr>
      <w:tr>
        <w:tblPrEx/>
        <w:trPr/>
        <w:tc>
          <w:tcPr>
            <w:tcW w:w="387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Debt Service as % of FAAC Allocation</w:t>
            </w:r>
          </w:p>
        </w:tc>
        <w:tc>
          <w:tcPr>
            <w:tcW w:w="135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Nil</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50.69</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16.15</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47.59</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44.96</w:t>
            </w:r>
          </w:p>
        </w:tc>
        <w:tc>
          <w:tcPr>
            <w:tcW w:w="90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74.93</w:t>
            </w:r>
          </w:p>
        </w:tc>
      </w:tr>
      <w:tr>
        <w:tblPrEx/>
        <w:trPr/>
        <w:tc>
          <w:tcPr>
            <w:tcW w:w="387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Interest Payment as % of Revenue</w:t>
            </w:r>
          </w:p>
        </w:tc>
        <w:tc>
          <w:tcPr>
            <w:tcW w:w="135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Nil</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2.35</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1.24</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2.41</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2.23</w:t>
            </w:r>
          </w:p>
        </w:tc>
        <w:tc>
          <w:tcPr>
            <w:tcW w:w="90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1.62</w:t>
            </w:r>
          </w:p>
        </w:tc>
      </w:tr>
      <w:tr>
        <w:tblPrEx/>
        <w:trPr/>
        <w:tc>
          <w:tcPr>
            <w:tcW w:w="387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External Debt Service as % of Revenue</w:t>
            </w:r>
          </w:p>
        </w:tc>
        <w:tc>
          <w:tcPr>
            <w:tcW w:w="135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lang w:eastAsia="en-US"/>
              </w:rPr>
              <w:t>Nil</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0.37</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0.52</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0.60</w:t>
            </w:r>
          </w:p>
        </w:tc>
        <w:tc>
          <w:tcPr>
            <w:tcW w:w="81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0.77</w:t>
            </w:r>
          </w:p>
        </w:tc>
        <w:tc>
          <w:tcPr>
            <w:tcW w:w="900" w:type="dxa"/>
            <w:tcBorders/>
            <w:vAlign w:val="center"/>
          </w:tcPr>
          <w:p>
            <w:pPr>
              <w:pStyle w:val="style179"/>
              <w:spacing w:after="0" w:lineRule="auto" w:line="276"/>
              <w:ind w:left="0"/>
              <w:jc w:val="center"/>
              <w:rPr>
                <w:rFonts w:ascii="Calibri" w:cs="Calibri" w:hAnsi="Calibri"/>
                <w:lang w:eastAsia="en-US"/>
              </w:rPr>
            </w:pPr>
            <w:r>
              <w:rPr>
                <w:rFonts w:ascii="Calibri" w:cs="Calibri" w:hAnsi="Calibri"/>
              </w:rPr>
              <w:t>0.74</w:t>
            </w:r>
          </w:p>
        </w:tc>
      </w:tr>
    </w:tbl>
    <w:p>
      <w:pPr>
        <w:pStyle w:val="style0"/>
        <w:spacing w:after="0"/>
        <w:jc w:val="both"/>
        <w:rPr>
          <w:rFonts w:ascii="Tahoma" w:cs="Tahoma" w:hAnsi="Tahoma"/>
          <w:iCs/>
          <w:szCs w:val="24"/>
        </w:rPr>
      </w:pPr>
      <w:r>
        <w:rPr>
          <w:rFonts w:ascii="Tahoma" w:cs="Tahoma" w:hAnsi="Tahoma"/>
          <w:b/>
          <w:bCs/>
          <w:iCs/>
          <w:szCs w:val="24"/>
        </w:rPr>
        <w:t>Note:</w:t>
      </w:r>
      <w:r>
        <w:rPr>
          <w:rFonts w:ascii="Tahoma" w:cs="Tahoma" w:hAnsi="Tahoma"/>
          <w:iCs/>
          <w:szCs w:val="24"/>
        </w:rPr>
        <w:t xml:space="preserve"> Nil means not available</w:t>
      </w:r>
    </w:p>
    <w:p>
      <w:pPr>
        <w:pStyle w:val="style0"/>
        <w:spacing w:lineRule="auto" w:line="360"/>
        <w:jc w:val="both"/>
        <w:rPr>
          <w:rFonts w:ascii="Tahoma" w:cs="Tahoma" w:hAnsi="Tahoma"/>
          <w:iCs/>
          <w:szCs w:val="24"/>
        </w:rPr>
      </w:pPr>
      <w:r>
        <w:rPr>
          <w:rFonts w:ascii="Tahoma" w:cs="Tahoma" w:hAnsi="Tahoma"/>
          <w:b/>
          <w:bCs/>
          <w:iCs/>
          <w:szCs w:val="24"/>
        </w:rPr>
        <w:t>Source:</w:t>
      </w:r>
      <w:r>
        <w:rPr>
          <w:rFonts w:ascii="Tahoma" w:cs="Tahoma" w:hAnsi="Tahoma"/>
          <w:iCs/>
          <w:szCs w:val="24"/>
        </w:rPr>
        <w:t xml:space="preserve"> </w:t>
      </w:r>
      <w:r>
        <w:rPr>
          <w:rFonts w:ascii="Tahoma" w:cs="Tahoma" w:hAnsi="Tahoma"/>
          <w:iCs/>
          <w:szCs w:val="24"/>
        </w:rPr>
        <w:t>Kano</w:t>
      </w:r>
      <w:r>
        <w:rPr>
          <w:rFonts w:ascii="Tahoma" w:cs="Tahoma" w:hAnsi="Tahoma"/>
          <w:iCs/>
          <w:szCs w:val="24"/>
        </w:rPr>
        <w:t xml:space="preserve"> State DMD</w:t>
      </w:r>
    </w:p>
    <w:p>
      <w:pPr>
        <w:pStyle w:val="style0"/>
        <w:spacing w:after="0" w:lineRule="auto" w:line="360"/>
        <w:rPr>
          <w:rFonts w:ascii="Tahoma" w:cs="Tahoma" w:hAnsi="Tahoma"/>
          <w:b/>
          <w:iCs/>
          <w:sz w:val="24"/>
          <w:szCs w:val="24"/>
        </w:rPr>
      </w:pPr>
      <w:r>
        <w:rPr>
          <w:rFonts w:ascii="Tahoma" w:cs="Tahoma" w:hAnsi="Tahoma"/>
          <w:b/>
          <w:iCs/>
          <w:sz w:val="24"/>
          <w:szCs w:val="24"/>
        </w:rPr>
        <w:t>4.</w:t>
      </w:r>
      <w:r>
        <w:rPr>
          <w:rFonts w:ascii="Tahoma" w:cs="Tahoma" w:hAnsi="Tahoma"/>
          <w:b/>
          <w:iCs/>
          <w:sz w:val="24"/>
          <w:szCs w:val="24"/>
        </w:rPr>
        <w:t>1</w:t>
      </w:r>
      <w:r>
        <w:rPr>
          <w:rFonts w:ascii="Tahoma" w:cs="Tahoma" w:hAnsi="Tahoma"/>
          <w:b/>
          <w:iCs/>
          <w:sz w:val="24"/>
          <w:szCs w:val="24"/>
        </w:rPr>
        <w:t xml:space="preserve"> Borrowing Options</w:t>
      </w:r>
    </w:p>
    <w:p>
      <w:pPr>
        <w:pStyle w:val="style0"/>
        <w:spacing w:lineRule="auto" w:line="360"/>
        <w:jc w:val="both"/>
        <w:rPr>
          <w:rFonts w:ascii="Tahoma" w:cs="Tahoma" w:hAnsi="Tahoma"/>
          <w:color w:val="000000"/>
          <w:sz w:val="24"/>
          <w:szCs w:val="24"/>
        </w:rPr>
      </w:pPr>
      <w:r>
        <w:rPr>
          <w:rFonts w:ascii="Tahoma" w:cs="Tahoma" w:hAnsi="Tahoma"/>
          <w:color w:val="000000"/>
          <w:sz w:val="24"/>
          <w:szCs w:val="24"/>
        </w:rPr>
        <w:t xml:space="preserve">The borrowing options are considered due to the timing of government’s cash flows throughout the fiscal year.  Domestic borrowing </w:t>
      </w:r>
      <w:r>
        <w:rPr>
          <w:rFonts w:ascii="Tahoma" w:cs="Tahoma" w:hAnsi="Tahoma"/>
          <w:color w:val="000000"/>
          <w:sz w:val="24"/>
          <w:szCs w:val="24"/>
        </w:rPr>
        <w:t>serves</w:t>
      </w:r>
      <w:r>
        <w:rPr>
          <w:rFonts w:ascii="Tahoma" w:cs="Tahoma" w:hAnsi="Tahoma"/>
          <w:color w:val="000000"/>
          <w:sz w:val="24"/>
          <w:szCs w:val="24"/>
        </w:rPr>
        <w:t xml:space="preserve"> as one of the main sources of borrowing with average ratio of </w:t>
      </w:r>
      <w:r>
        <w:rPr>
          <w:rFonts w:ascii="Tahoma" w:cs="Tahoma" w:hAnsi="Tahoma"/>
          <w:color w:val="000000"/>
          <w:sz w:val="24"/>
          <w:szCs w:val="24"/>
        </w:rPr>
        <w:t xml:space="preserve">79.36 </w:t>
      </w:r>
      <w:r>
        <w:rPr>
          <w:rFonts w:ascii="Tahoma" w:cs="Tahoma" w:hAnsi="Tahoma"/>
          <w:color w:val="000000"/>
          <w:sz w:val="24"/>
          <w:szCs w:val="24"/>
        </w:rPr>
        <w:t>percent over the projection period from 202</w:t>
      </w:r>
      <w:r>
        <w:rPr>
          <w:rFonts w:ascii="Tahoma" w:cs="Tahoma" w:hAnsi="Tahoma"/>
          <w:color w:val="000000"/>
          <w:sz w:val="24"/>
          <w:szCs w:val="24"/>
        </w:rPr>
        <w:t>2</w:t>
      </w:r>
      <w:r>
        <w:rPr>
          <w:rFonts w:ascii="Tahoma" w:cs="Tahoma" w:hAnsi="Tahoma"/>
          <w:color w:val="000000"/>
          <w:sz w:val="24"/>
          <w:szCs w:val="24"/>
        </w:rPr>
        <w:t xml:space="preserve"> to 20</w:t>
      </w:r>
      <w:r>
        <w:rPr>
          <w:rFonts w:ascii="Tahoma" w:cs="Tahoma" w:hAnsi="Tahoma"/>
          <w:color w:val="000000"/>
          <w:sz w:val="24"/>
          <w:szCs w:val="24"/>
        </w:rPr>
        <w:t>3</w:t>
      </w:r>
      <w:r>
        <w:rPr>
          <w:rFonts w:ascii="Tahoma" w:cs="Tahoma" w:hAnsi="Tahoma"/>
          <w:color w:val="000000"/>
          <w:sz w:val="24"/>
          <w:szCs w:val="24"/>
        </w:rPr>
        <w:t>1</w:t>
      </w:r>
      <w:r>
        <w:rPr>
          <w:rFonts w:ascii="Tahoma" w:cs="Tahoma" w:hAnsi="Tahoma"/>
          <w:color w:val="000000"/>
          <w:sz w:val="24"/>
          <w:szCs w:val="24"/>
        </w:rPr>
        <w:t xml:space="preserve"> and given the limited funding envelopes from the external borrowing with long processing time required, domestic borrowing are mainly through: the commercial ban</w:t>
      </w:r>
      <w:r>
        <w:rPr>
          <w:rFonts w:ascii="Tahoma" w:cs="Tahoma" w:hAnsi="Tahoma"/>
          <w:color w:val="000000"/>
          <w:sz w:val="24"/>
          <w:szCs w:val="24"/>
        </w:rPr>
        <w:t>ks</w:t>
      </w:r>
      <w:r>
        <w:rPr>
          <w:rFonts w:ascii="Tahoma" w:cs="Tahoma" w:hAnsi="Tahoma"/>
          <w:color w:val="000000"/>
          <w:sz w:val="24"/>
          <w:szCs w:val="24"/>
        </w:rPr>
        <w:t>, Federal Government and other Central Bank of Nigeria (Int</w:t>
      </w:r>
      <w:r>
        <w:rPr>
          <w:rFonts w:ascii="Tahoma" w:cs="Tahoma" w:hAnsi="Tahoma"/>
          <w:color w:val="000000"/>
          <w:sz w:val="24"/>
          <w:szCs w:val="24"/>
        </w:rPr>
        <w:t>erventions)</w:t>
      </w:r>
      <w:r>
        <w:rPr>
          <w:rFonts w:ascii="Tahoma" w:cs="Tahoma" w:hAnsi="Tahoma"/>
          <w:color w:val="000000"/>
          <w:sz w:val="24"/>
          <w:szCs w:val="24"/>
        </w:rPr>
        <w:t>.</w:t>
      </w:r>
    </w:p>
    <w:p>
      <w:pPr>
        <w:pStyle w:val="style0"/>
        <w:spacing w:lineRule="auto" w:line="360"/>
        <w:jc w:val="both"/>
        <w:rPr>
          <w:rFonts w:ascii="Tahoma" w:cs="Tahoma" w:hAnsi="Tahoma"/>
          <w:color w:val="000000"/>
          <w:sz w:val="24"/>
          <w:szCs w:val="24"/>
        </w:rPr>
      </w:pPr>
    </w:p>
    <w:p>
      <w:pPr>
        <w:pStyle w:val="style0"/>
        <w:spacing w:lineRule="auto" w:line="360"/>
        <w:jc w:val="both"/>
        <w:rPr>
          <w:rFonts w:ascii="Tahoma" w:cs="Tahoma" w:hAnsi="Tahoma"/>
          <w:color w:val="000000"/>
          <w:sz w:val="24"/>
          <w:szCs w:val="24"/>
        </w:rPr>
      </w:pPr>
    </w:p>
    <w:p>
      <w:pPr>
        <w:pStyle w:val="style0"/>
        <w:spacing w:lineRule="auto" w:line="360"/>
        <w:jc w:val="both"/>
        <w:rPr>
          <w:rFonts w:ascii="Tahoma" w:cs="Tahoma" w:hAnsi="Tahoma"/>
          <w:color w:val="000000"/>
          <w:sz w:val="24"/>
          <w:szCs w:val="24"/>
        </w:rPr>
      </w:pPr>
    </w:p>
    <w:p>
      <w:pPr>
        <w:pStyle w:val="style0"/>
        <w:spacing w:lineRule="auto" w:line="360"/>
        <w:jc w:val="both"/>
        <w:rPr>
          <w:rFonts w:ascii="Tahoma" w:cs="Tahoma" w:hAnsi="Tahoma"/>
          <w:color w:val="000000"/>
          <w:sz w:val="24"/>
          <w:szCs w:val="24"/>
        </w:rPr>
      </w:pPr>
    </w:p>
    <w:p>
      <w:pPr>
        <w:pStyle w:val="style0"/>
        <w:spacing w:after="0"/>
        <w:jc w:val="both"/>
        <w:rPr>
          <w:rFonts w:ascii="Tahoma" w:cs="Tahoma" w:hAnsi="Tahoma"/>
          <w:b/>
          <w:bCs/>
          <w:color w:val="000000"/>
          <w:sz w:val="24"/>
          <w:szCs w:val="24"/>
        </w:rPr>
      </w:pPr>
      <w:r>
        <w:rPr>
          <w:rFonts w:ascii="Tahoma" w:cs="Tahoma" w:hAnsi="Tahoma"/>
          <w:b/>
          <w:bCs/>
          <w:color w:val="000000"/>
          <w:sz w:val="24"/>
          <w:szCs w:val="24"/>
        </w:rPr>
        <w:t>Borrowing Options</w:t>
      </w:r>
    </w:p>
    <w:tbl>
      <w:tblPr>
        <w:tblW w:w="93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3"/>
        <w:gridCol w:w="796"/>
        <w:gridCol w:w="796"/>
        <w:gridCol w:w="782"/>
        <w:gridCol w:w="796"/>
        <w:gridCol w:w="832"/>
        <w:gridCol w:w="854"/>
        <w:gridCol w:w="813"/>
        <w:gridCol w:w="811"/>
        <w:gridCol w:w="796"/>
        <w:gridCol w:w="855"/>
      </w:tblGrid>
      <w:tr>
        <w:trPr>
          <w:wAfter w:w="64" w:type="dxa"/>
          <w:trHeight w:val="288" w:hRule="atLeast"/>
        </w:trPr>
        <w:tc>
          <w:tcPr>
            <w:tcW w:w="1192" w:type="dxa"/>
            <w:tcBorders/>
            <w:shd w:val="clear" w:color="auto" w:fill="auto"/>
            <w:vAlign w:val="center"/>
          </w:tcPr>
          <w:p>
            <w:pPr>
              <w:pStyle w:val="style0"/>
              <w:spacing w:after="0" w:lineRule="auto" w:line="240"/>
              <w:jc w:val="center"/>
              <w:rPr>
                <w:rFonts w:cs="Calibri"/>
                <w:sz w:val="15"/>
                <w:szCs w:val="15"/>
              </w:rPr>
            </w:pPr>
          </w:p>
        </w:tc>
        <w:tc>
          <w:tcPr>
            <w:tcW w:w="748"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2022</w:t>
            </w:r>
          </w:p>
        </w:tc>
        <w:tc>
          <w:tcPr>
            <w:tcW w:w="748"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2023</w:t>
            </w:r>
          </w:p>
        </w:tc>
        <w:tc>
          <w:tcPr>
            <w:tcW w:w="817"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2024</w:t>
            </w:r>
          </w:p>
        </w:tc>
        <w:tc>
          <w:tcPr>
            <w:tcW w:w="748"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2025</w:t>
            </w:r>
          </w:p>
        </w:tc>
        <w:tc>
          <w:tcPr>
            <w:tcW w:w="849"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2026</w:t>
            </w:r>
          </w:p>
        </w:tc>
        <w:tc>
          <w:tcPr>
            <w:tcW w:w="884"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2027</w:t>
            </w:r>
          </w:p>
        </w:tc>
        <w:tc>
          <w:tcPr>
            <w:tcW w:w="817"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2028</w:t>
            </w:r>
          </w:p>
        </w:tc>
        <w:tc>
          <w:tcPr>
            <w:tcW w:w="814"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2029</w:t>
            </w:r>
          </w:p>
        </w:tc>
        <w:tc>
          <w:tcPr>
            <w:tcW w:w="748"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2030</w:t>
            </w:r>
          </w:p>
        </w:tc>
        <w:tc>
          <w:tcPr>
            <w:tcW w:w="886" w:type="dxa"/>
            <w:tcBorders/>
            <w:shd w:val="clear" w:color="auto" w:fill="auto"/>
            <w:noWrap/>
            <w:vAlign w:val="center"/>
          </w:tcPr>
          <w:p>
            <w:pPr>
              <w:pStyle w:val="style0"/>
              <w:spacing w:after="0" w:lineRule="auto" w:line="240"/>
              <w:jc w:val="center"/>
              <w:rPr>
                <w:rFonts w:cs="Calibri"/>
                <w:b/>
                <w:bCs/>
                <w:sz w:val="15"/>
                <w:szCs w:val="15"/>
              </w:rPr>
            </w:pPr>
            <w:r>
              <w:rPr>
                <w:rFonts w:cs="Calibri"/>
                <w:b/>
                <w:bCs/>
                <w:sz w:val="15"/>
                <w:szCs w:val="15"/>
              </w:rPr>
              <w:t>2031</w:t>
            </w:r>
          </w:p>
        </w:tc>
      </w:tr>
      <w:tr>
        <w:tblPrEx/>
        <w:trPr>
          <w:trHeight w:val="288" w:hRule="atLeast"/>
        </w:trPr>
        <w:tc>
          <w:tcPr>
            <w:tcW w:w="9315" w:type="dxa"/>
            <w:gridSpan w:val="11"/>
            <w:tcBorders/>
            <w:shd w:val="clear" w:color="auto" w:fill="92d050"/>
            <w:vAlign w:val="center"/>
          </w:tcPr>
          <w:p>
            <w:pPr>
              <w:pStyle w:val="style0"/>
              <w:spacing w:after="0" w:lineRule="auto" w:line="240"/>
              <w:rPr>
                <w:rFonts w:cs="Calibri"/>
                <w:sz w:val="15"/>
                <w:szCs w:val="15"/>
              </w:rPr>
            </w:pPr>
            <w:r>
              <w:rPr>
                <w:rFonts w:cs="Calibri"/>
                <w:b/>
                <w:bCs/>
                <w:sz w:val="15"/>
                <w:szCs w:val="15"/>
              </w:rPr>
              <w:t>Domestic Financing</w:t>
            </w:r>
            <w:r>
              <w:rPr>
                <w:rFonts w:cs="Calibri"/>
                <w:b/>
                <w:bCs/>
                <w:sz w:val="15"/>
                <w:szCs w:val="15"/>
              </w:rPr>
              <w:t xml:space="preserve"> (NGN’ Million)</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sz w:val="15"/>
                <w:szCs w:val="15"/>
              </w:rPr>
              <w:t>Commercial Bank Loans 1 &lt;&gt; 5 years</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3,652.0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7,701.3</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7,000.0</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7,146.0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4,167.3</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7,586.6</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7,272.9</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6,885.9</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sz w:val="15"/>
                <w:szCs w:val="15"/>
              </w:rPr>
              <w:t>Commercial Bank Loans - 6 years &gt;</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11,600.0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2,539.0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7,813.1</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12,161.4</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11,015.7</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12,395.2</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11,273.3</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9,919.6</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sz w:val="15"/>
                <w:szCs w:val="15"/>
              </w:rPr>
              <w:t>State Bonds - 1 &lt;&gt; 5 years)</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9,209.9</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sz w:val="15"/>
                <w:szCs w:val="15"/>
              </w:rPr>
              <w:t>State Bonds - 6 years &gt;</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13,000.0</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15,000.0</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sz w:val="15"/>
                <w:szCs w:val="15"/>
              </w:rPr>
              <w:t>Other Domestic Financing</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r>
      <w:tr>
        <w:tblPrEx/>
        <w:trPr>
          <w:trHeight w:val="288" w:hRule="atLeast"/>
        </w:trPr>
        <w:tc>
          <w:tcPr>
            <w:tcW w:w="9315" w:type="dxa"/>
            <w:gridSpan w:val="11"/>
            <w:tcBorders/>
            <w:shd w:val="clear" w:color="auto" w:fill="92d050"/>
            <w:vAlign w:val="center"/>
          </w:tcPr>
          <w:p>
            <w:pPr>
              <w:pStyle w:val="style0"/>
              <w:spacing w:after="0" w:lineRule="auto" w:line="240"/>
              <w:jc w:val="center"/>
              <w:rPr>
                <w:rFonts w:cs="Calibri"/>
                <w:b/>
                <w:bCs/>
                <w:sz w:val="15"/>
                <w:szCs w:val="15"/>
              </w:rPr>
            </w:pPr>
          </w:p>
        </w:tc>
      </w:tr>
      <w:tr>
        <w:tblPrEx/>
        <w:trPr>
          <w:trHeight w:val="288" w:hRule="atLeast"/>
        </w:trPr>
        <w:tc>
          <w:tcPr>
            <w:tcW w:w="9315" w:type="dxa"/>
            <w:gridSpan w:val="11"/>
            <w:tcBorders/>
            <w:shd w:val="clear" w:color="auto" w:fill="92d050"/>
            <w:vAlign w:val="center"/>
          </w:tcPr>
          <w:p>
            <w:pPr>
              <w:pStyle w:val="style0"/>
              <w:spacing w:after="0" w:lineRule="auto" w:line="240"/>
              <w:rPr>
                <w:rFonts w:cs="Calibri"/>
                <w:sz w:val="15"/>
                <w:szCs w:val="15"/>
              </w:rPr>
            </w:pPr>
            <w:r>
              <w:rPr>
                <w:rFonts w:cs="Calibri"/>
                <w:b/>
                <w:bCs/>
                <w:sz w:val="15"/>
                <w:szCs w:val="15"/>
              </w:rPr>
              <w:t>External</w:t>
            </w:r>
            <w:r>
              <w:rPr>
                <w:rFonts w:cs="Calibri"/>
                <w:b/>
                <w:bCs/>
                <w:sz w:val="15"/>
                <w:szCs w:val="15"/>
              </w:rPr>
              <w:t xml:space="preserve"> Financing</w:t>
            </w:r>
            <w:r>
              <w:rPr>
                <w:rFonts w:cs="Calibri"/>
                <w:b/>
                <w:bCs/>
                <w:sz w:val="15"/>
                <w:szCs w:val="15"/>
              </w:rPr>
              <w:t xml:space="preserve"> (US$’ Million)</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eastAsia="Times New Roman"/>
                <w:color w:val="000000"/>
                <w:sz w:val="15"/>
                <w:szCs w:val="15"/>
              </w:rPr>
              <w:t xml:space="preserve">External Financing - Concessional Loans (e.g., WB, </w:t>
            </w:r>
            <w:r>
              <w:rPr>
                <w:rFonts w:cs="Calibri" w:eastAsia="Times New Roman"/>
                <w:color w:val="000000"/>
                <w:sz w:val="15"/>
                <w:szCs w:val="15"/>
              </w:rPr>
              <w:t>AfDB</w:t>
            </w:r>
            <w:r>
              <w:rPr>
                <w:rFonts w:cs="Calibri" w:eastAsia="Times New Roman"/>
                <w:color w:val="000000"/>
                <w:sz w:val="15"/>
                <w:szCs w:val="15"/>
              </w:rPr>
              <w:t>)</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12.1</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19.0</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15.8</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29.3</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14.8</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eastAsia="Times New Roman"/>
                <w:color w:val="000000"/>
                <w:sz w:val="15"/>
                <w:szCs w:val="15"/>
              </w:rPr>
              <w:t>External Financing - Bilateral Loans</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14.4</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sz w:val="15"/>
                <w:szCs w:val="15"/>
              </w:rPr>
            </w:pPr>
            <w:r>
              <w:rPr>
                <w:rFonts w:cs="Calibri" w:eastAsia="Times New Roman"/>
                <w:color w:val="000000"/>
                <w:sz w:val="15"/>
                <w:szCs w:val="15"/>
              </w:rPr>
              <w:t>Other External Financing</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49"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7"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14"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748"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c>
          <w:tcPr>
            <w:tcW w:w="886" w:type="dxa"/>
            <w:tcBorders/>
            <w:shd w:val="clear" w:color="auto" w:fill="auto"/>
            <w:noWrap/>
            <w:vAlign w:val="center"/>
            <w:hideMark/>
          </w:tcPr>
          <w:p>
            <w:pPr>
              <w:pStyle w:val="style0"/>
              <w:spacing w:after="0" w:lineRule="auto" w:line="240"/>
              <w:jc w:val="center"/>
              <w:rPr>
                <w:rFonts w:cs="Calibri" w:eastAsia="Times New Roman"/>
                <w:sz w:val="15"/>
                <w:szCs w:val="15"/>
              </w:rPr>
            </w:pPr>
            <w:r>
              <w:rPr>
                <w:sz w:val="15"/>
                <w:szCs w:val="15"/>
              </w:rPr>
              <w:t>0.0</w:t>
            </w:r>
          </w:p>
        </w:tc>
      </w:tr>
      <w:tr>
        <w:tblPrEx/>
        <w:trPr>
          <w:wAfter w:w="64" w:type="dxa"/>
          <w:trHeight w:val="288" w:hRule="atLeast"/>
        </w:trPr>
        <w:tc>
          <w:tcPr>
            <w:tcW w:w="1192" w:type="dxa"/>
            <w:tcBorders/>
            <w:shd w:val="clear" w:color="auto" w:fill="auto"/>
            <w:vAlign w:val="center"/>
          </w:tcPr>
          <w:p>
            <w:pPr>
              <w:pStyle w:val="style0"/>
              <w:spacing w:after="0" w:lineRule="auto" w:line="240"/>
              <w:rPr>
                <w:rFonts w:cs="Calibri"/>
                <w:b/>
                <w:bCs/>
                <w:color w:val="ff0000"/>
                <w:sz w:val="15"/>
                <w:szCs w:val="15"/>
              </w:rPr>
            </w:pPr>
            <w:r>
              <w:rPr>
                <w:rFonts w:cs="Calibri"/>
                <w:b/>
                <w:bCs/>
                <w:color w:val="ff0000"/>
                <w:sz w:val="15"/>
                <w:szCs w:val="15"/>
              </w:rPr>
              <w:t>Total Gross Borrowing Requirements</w:t>
            </w:r>
          </w:p>
        </w:tc>
        <w:tc>
          <w:tcPr>
            <w:tcW w:w="748"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11,600.0</w:t>
            </w:r>
          </w:p>
        </w:tc>
        <w:tc>
          <w:tcPr>
            <w:tcW w:w="748"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11,191.0</w:t>
            </w:r>
          </w:p>
        </w:tc>
        <w:tc>
          <w:tcPr>
            <w:tcW w:w="817"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7,813.1</w:t>
            </w:r>
          </w:p>
        </w:tc>
        <w:tc>
          <w:tcPr>
            <w:tcW w:w="748"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28,563.8</w:t>
            </w:r>
          </w:p>
        </w:tc>
        <w:tc>
          <w:tcPr>
            <w:tcW w:w="849"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25,693.0</w:t>
            </w:r>
          </w:p>
        </w:tc>
        <w:tc>
          <w:tcPr>
            <w:tcW w:w="884"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16,355.9</w:t>
            </w:r>
          </w:p>
        </w:tc>
        <w:tc>
          <w:tcPr>
            <w:tcW w:w="817"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30,183.0</w:t>
            </w:r>
          </w:p>
        </w:tc>
        <w:tc>
          <w:tcPr>
            <w:tcW w:w="814"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32,099.1</w:t>
            </w:r>
          </w:p>
        </w:tc>
        <w:tc>
          <w:tcPr>
            <w:tcW w:w="748"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24,472.7</w:t>
            </w:r>
          </w:p>
        </w:tc>
        <w:tc>
          <w:tcPr>
            <w:tcW w:w="886" w:type="dxa"/>
            <w:tcBorders/>
            <w:shd w:val="clear" w:color="auto" w:fill="auto"/>
            <w:noWrap/>
            <w:vAlign w:val="center"/>
          </w:tcPr>
          <w:p>
            <w:pPr>
              <w:pStyle w:val="style0"/>
              <w:spacing w:after="0" w:lineRule="auto" w:line="240"/>
              <w:jc w:val="center"/>
              <w:rPr>
                <w:rFonts w:cs="Calibri"/>
                <w:b/>
                <w:bCs/>
                <w:color w:val="ff0000"/>
                <w:sz w:val="15"/>
                <w:szCs w:val="15"/>
              </w:rPr>
            </w:pPr>
            <w:r>
              <w:rPr>
                <w:b/>
                <w:bCs/>
                <w:color w:val="ff0000"/>
                <w:sz w:val="15"/>
                <w:szCs w:val="15"/>
              </w:rPr>
              <w:t>22,900.5</w:t>
            </w:r>
          </w:p>
        </w:tc>
      </w:tr>
    </w:tbl>
    <w:p>
      <w:pPr>
        <w:pStyle w:val="style0"/>
        <w:spacing w:after="0" w:lineRule="auto" w:line="360"/>
        <w:jc w:val="both"/>
        <w:rPr>
          <w:rFonts w:ascii="Tahoma" w:cs="Tahoma" w:hAnsi="Tahoma"/>
          <w:color w:val="000000"/>
          <w:sz w:val="24"/>
          <w:szCs w:val="24"/>
        </w:rPr>
      </w:pPr>
    </w:p>
    <w:p>
      <w:pPr>
        <w:pStyle w:val="style179"/>
        <w:numPr>
          <w:ilvl w:val="2"/>
          <w:numId w:val="2"/>
        </w:numPr>
        <w:spacing w:after="0" w:lineRule="auto" w:line="360"/>
        <w:rPr>
          <w:rFonts w:ascii="Tahoma" w:cs="Tahoma" w:hAnsi="Tahoma"/>
          <w:b/>
          <w:iCs/>
          <w:sz w:val="24"/>
          <w:szCs w:val="24"/>
        </w:rPr>
      </w:pPr>
      <w:r>
        <w:rPr>
          <w:rFonts w:ascii="Tahoma" w:cs="Tahoma" w:hAnsi="Tahoma"/>
          <w:b/>
          <w:iCs/>
          <w:sz w:val="24"/>
          <w:szCs w:val="24"/>
        </w:rPr>
        <w:t>DSA Simulation Results</w:t>
      </w:r>
    </w:p>
    <w:p>
      <w:pPr>
        <w:pStyle w:val="style0"/>
        <w:spacing w:after="0" w:lineRule="auto" w:line="360"/>
        <w:jc w:val="both"/>
        <w:rPr>
          <w:rFonts w:ascii="Tahoma" w:cs="Tahoma" w:hAnsi="Tahoma"/>
          <w:b/>
          <w:iCs/>
          <w:sz w:val="24"/>
          <w:szCs w:val="24"/>
        </w:rPr>
      </w:pPr>
      <w:r>
        <w:rPr>
          <w:rFonts w:ascii="Tahoma" w:cs="Tahoma" w:hAnsi="Tahoma"/>
          <w:b/>
          <w:iCs/>
          <w:sz w:val="24"/>
          <w:szCs w:val="24"/>
        </w:rPr>
        <w:t>Revenue, expenditure, overall and primary balance over the long-term.</w:t>
      </w:r>
    </w:p>
    <w:p>
      <w:pPr>
        <w:pStyle w:val="style0"/>
        <w:spacing w:lineRule="auto" w:line="360"/>
        <w:jc w:val="both"/>
        <w:rPr>
          <w:rFonts w:ascii="Tahoma" w:cs="Tahoma" w:hAnsi="Tahoma"/>
          <w:bCs/>
          <w:iCs/>
          <w:sz w:val="24"/>
          <w:szCs w:val="24"/>
        </w:rPr>
      </w:pPr>
      <w:r>
        <w:rPr>
          <w:rFonts w:ascii="Tahoma" w:cs="Tahoma" w:hAnsi="Tahoma"/>
          <w:b/>
          <w:iCs/>
          <w:sz w:val="24"/>
          <w:szCs w:val="24"/>
        </w:rPr>
        <w:t>Revenue</w:t>
      </w:r>
      <w:r>
        <w:rPr>
          <w:rFonts w:ascii="Tahoma" w:cs="Tahoma" w:hAnsi="Tahoma"/>
          <w:bCs/>
          <w:iCs/>
          <w:sz w:val="24"/>
          <w:szCs w:val="24"/>
        </w:rPr>
        <w:t xml:space="preserve"> </w:t>
      </w:r>
      <w:r>
        <w:rPr>
          <w:rFonts w:ascii="Tahoma" w:cs="Tahoma" w:hAnsi="Tahoma"/>
          <w:bCs/>
          <w:iCs/>
          <w:sz w:val="24"/>
          <w:szCs w:val="24"/>
        </w:rPr>
        <w:t xml:space="preserve">The Macroeconomic framework is based on IMF’s national real GDP growth and inflation forecasts from </w:t>
      </w:r>
      <w:r>
        <w:rPr>
          <w:rFonts w:ascii="Tahoma" w:cs="Tahoma" w:hAnsi="Tahoma"/>
          <w:bCs/>
          <w:iCs/>
          <w:sz w:val="24"/>
          <w:szCs w:val="24"/>
        </w:rPr>
        <w:t>2022</w:t>
      </w:r>
      <w:r>
        <w:rPr>
          <w:rFonts w:ascii="Tahoma" w:cs="Tahoma" w:hAnsi="Tahoma"/>
          <w:bCs/>
          <w:iCs/>
          <w:sz w:val="24"/>
          <w:szCs w:val="24"/>
        </w:rPr>
        <w:t xml:space="preserve">, IMF World Economic Outlook document, and mineral </w:t>
      </w:r>
      <w:r>
        <w:rPr>
          <w:rFonts w:ascii="Tahoma" w:cs="Tahoma" w:hAnsi="Tahoma"/>
          <w:bCs/>
          <w:iCs/>
          <w:sz w:val="24"/>
          <w:szCs w:val="24"/>
        </w:rPr>
        <w:t>benchmarks (oil price, production and NGN/USD exchange rate) from Federal Government of Nigeria’s MTEF/FSP 202</w:t>
      </w:r>
      <w:r>
        <w:rPr>
          <w:rFonts w:ascii="Tahoma" w:cs="Tahoma" w:hAnsi="Tahoma"/>
          <w:bCs/>
          <w:iCs/>
          <w:sz w:val="24"/>
          <w:szCs w:val="24"/>
        </w:rPr>
        <w:t>2</w:t>
      </w:r>
      <w:r>
        <w:rPr>
          <w:rFonts w:ascii="Tahoma" w:cs="Tahoma" w:hAnsi="Tahoma"/>
          <w:bCs/>
          <w:iCs/>
          <w:sz w:val="24"/>
          <w:szCs w:val="24"/>
        </w:rPr>
        <w:t>-202</w:t>
      </w:r>
      <w:r>
        <w:rPr>
          <w:rFonts w:ascii="Tahoma" w:cs="Tahoma" w:hAnsi="Tahoma"/>
          <w:bCs/>
          <w:iCs/>
          <w:sz w:val="24"/>
          <w:szCs w:val="24"/>
        </w:rPr>
        <w:t>4</w:t>
      </w:r>
      <w:r>
        <w:rPr>
          <w:rFonts w:ascii="Tahoma" w:cs="Tahoma" w:hAnsi="Tahoma"/>
          <w:bCs/>
          <w:iCs/>
          <w:sz w:val="24"/>
          <w:szCs w:val="24"/>
        </w:rPr>
        <w:t xml:space="preserve">. </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4.3.2</w:t>
      </w:r>
      <w:r>
        <w:rPr>
          <w:rFonts w:ascii="Tahoma" w:cs="Tahoma" w:hAnsi="Tahoma"/>
          <w:b/>
          <w:iCs/>
          <w:color w:val="0070c0"/>
          <w:sz w:val="24"/>
          <w:szCs w:val="24"/>
        </w:rPr>
        <w:tab/>
      </w:r>
      <w:r>
        <w:rPr>
          <w:rFonts w:ascii="Tahoma" w:cs="Tahoma" w:hAnsi="Tahoma"/>
          <w:b/>
          <w:iCs/>
          <w:color w:val="0070c0"/>
          <w:sz w:val="24"/>
          <w:szCs w:val="24"/>
        </w:rPr>
        <w:t>Revenue</w:t>
      </w:r>
      <w:r>
        <w:rPr>
          <w:rFonts w:ascii="Tahoma" w:cs="Tahoma" w:hAnsi="Tahoma"/>
          <w:bCs/>
          <w:iCs/>
          <w:color w:val="0070c0"/>
          <w:sz w:val="24"/>
          <w:szCs w:val="24"/>
        </w:rPr>
        <w:t xml:space="preserve"> </w:t>
      </w:r>
      <w:r>
        <w:rPr>
          <w:rFonts w:ascii="Tahoma" w:cs="Tahoma" w:hAnsi="Tahoma"/>
          <w:bCs/>
          <w:iCs/>
          <w:sz w:val="24"/>
          <w:szCs w:val="24"/>
        </w:rPr>
        <w:t>is expected to grow during the projected period, driven largely by expected improvement through FAAC allocation</w:t>
      </w:r>
      <w:r>
        <w:rPr>
          <w:rFonts w:ascii="Tahoma" w:cs="Tahoma" w:hAnsi="Tahoma"/>
          <w:bCs/>
          <w:iCs/>
          <w:sz w:val="24"/>
          <w:szCs w:val="24"/>
        </w:rPr>
        <w:t xml:space="preserve"> by N</w:t>
      </w:r>
      <w:r>
        <w:rPr>
          <w:rFonts w:ascii="Tahoma" w:cs="Tahoma" w:hAnsi="Tahoma"/>
          <w:bCs/>
          <w:iCs/>
          <w:sz w:val="24"/>
          <w:szCs w:val="24"/>
        </w:rPr>
        <w:t>121</w:t>
      </w:r>
      <w:r>
        <w:rPr>
          <w:rFonts w:ascii="Tahoma" w:cs="Tahoma" w:hAnsi="Tahoma"/>
          <w:bCs/>
          <w:iCs/>
          <w:sz w:val="24"/>
          <w:szCs w:val="24"/>
        </w:rPr>
        <w:t>,574</w:t>
      </w:r>
      <w:r>
        <w:rPr>
          <w:rFonts w:ascii="Tahoma" w:cs="Tahoma" w:hAnsi="Tahoma"/>
          <w:bCs/>
          <w:iCs/>
          <w:sz w:val="24"/>
          <w:szCs w:val="24"/>
        </w:rPr>
        <w:t xml:space="preserve"> </w:t>
      </w:r>
      <w:r>
        <w:rPr>
          <w:rFonts w:ascii="Tahoma" w:cs="Tahoma" w:hAnsi="Tahoma"/>
          <w:bCs/>
          <w:iCs/>
          <w:sz w:val="24"/>
          <w:szCs w:val="24"/>
        </w:rPr>
        <w:t>m</w:t>
      </w:r>
      <w:r>
        <w:rPr>
          <w:rFonts w:ascii="Tahoma" w:cs="Tahoma" w:hAnsi="Tahoma"/>
          <w:bCs/>
          <w:iCs/>
          <w:sz w:val="24"/>
          <w:szCs w:val="24"/>
        </w:rPr>
        <w:t xml:space="preserve">illion or </w:t>
      </w:r>
      <w:r>
        <w:rPr>
          <w:rFonts w:ascii="Tahoma" w:cs="Tahoma" w:hAnsi="Tahoma"/>
          <w:bCs/>
          <w:iCs/>
          <w:sz w:val="24"/>
          <w:szCs w:val="24"/>
        </w:rPr>
        <w:t xml:space="preserve">69.69 </w:t>
      </w:r>
      <w:r>
        <w:rPr>
          <w:rFonts w:ascii="Tahoma" w:cs="Tahoma" w:hAnsi="Tahoma"/>
          <w:bCs/>
          <w:iCs/>
          <w:sz w:val="24"/>
          <w:szCs w:val="24"/>
        </w:rPr>
        <w:t>percent</w:t>
      </w:r>
      <w:r>
        <w:rPr>
          <w:rFonts w:ascii="Tahoma" w:cs="Tahoma" w:hAnsi="Tahoma"/>
          <w:bCs/>
          <w:iCs/>
          <w:sz w:val="24"/>
          <w:szCs w:val="24"/>
        </w:rPr>
        <w:t xml:space="preserve"> of total Revenue</w:t>
      </w:r>
      <w:r>
        <w:rPr>
          <w:rFonts w:ascii="Tahoma" w:cs="Tahoma" w:hAnsi="Tahoma"/>
          <w:bCs/>
          <w:iCs/>
          <w:sz w:val="24"/>
          <w:szCs w:val="24"/>
        </w:rPr>
        <w:t>,</w:t>
      </w:r>
      <w:r>
        <w:rPr>
          <w:rFonts w:ascii="Tahoma" w:cs="Tahoma" w:hAnsi="Tahoma"/>
          <w:bCs/>
          <w:iCs/>
          <w:sz w:val="24"/>
          <w:szCs w:val="24"/>
        </w:rPr>
        <w:t xml:space="preserve"> </w:t>
      </w:r>
      <w:r>
        <w:rPr>
          <w:rFonts w:ascii="Tahoma" w:cs="Tahoma" w:hAnsi="Tahoma"/>
          <w:bCs/>
          <w:iCs/>
          <w:sz w:val="24"/>
          <w:szCs w:val="24"/>
        </w:rPr>
        <w:t>IGR</w:t>
      </w:r>
      <w:r>
        <w:rPr>
          <w:rFonts w:ascii="Tahoma" w:cs="Tahoma" w:hAnsi="Tahoma"/>
          <w:bCs/>
          <w:iCs/>
          <w:sz w:val="24"/>
          <w:szCs w:val="24"/>
        </w:rPr>
        <w:t xml:space="preserve"> estimated at N</w:t>
      </w:r>
      <w:r>
        <w:rPr>
          <w:rFonts w:ascii="Tahoma" w:cs="Tahoma" w:hAnsi="Tahoma"/>
          <w:bCs/>
          <w:iCs/>
          <w:sz w:val="24"/>
          <w:szCs w:val="24"/>
        </w:rPr>
        <w:t xml:space="preserve">38,152 </w:t>
      </w:r>
      <w:r>
        <w:rPr>
          <w:rFonts w:ascii="Tahoma" w:cs="Tahoma" w:hAnsi="Tahoma"/>
          <w:bCs/>
          <w:iCs/>
          <w:sz w:val="24"/>
          <w:szCs w:val="24"/>
        </w:rPr>
        <w:t xml:space="preserve">million </w:t>
      </w:r>
      <w:r>
        <w:rPr>
          <w:rFonts w:ascii="Tahoma" w:cs="Tahoma" w:hAnsi="Tahoma"/>
          <w:bCs/>
          <w:iCs/>
          <w:sz w:val="24"/>
          <w:szCs w:val="24"/>
        </w:rPr>
        <w:t>or 21.87 percent of total Revenue</w:t>
      </w:r>
      <w:r>
        <w:rPr>
          <w:rFonts w:ascii="Tahoma" w:cs="Tahoma" w:hAnsi="Tahoma"/>
          <w:bCs/>
          <w:iCs/>
          <w:sz w:val="24"/>
          <w:szCs w:val="24"/>
        </w:rPr>
        <w:t>. Estimated on Revenue were sources from the Approved 202</w:t>
      </w:r>
      <w:r>
        <w:rPr>
          <w:rFonts w:ascii="Tahoma" w:cs="Tahoma" w:hAnsi="Tahoma"/>
          <w:bCs/>
          <w:iCs/>
          <w:sz w:val="24"/>
          <w:szCs w:val="24"/>
        </w:rPr>
        <w:t xml:space="preserve">2 </w:t>
      </w:r>
      <w:r>
        <w:rPr>
          <w:rFonts w:ascii="Tahoma" w:cs="Tahoma" w:hAnsi="Tahoma"/>
          <w:bCs/>
          <w:iCs/>
          <w:sz w:val="24"/>
          <w:szCs w:val="24"/>
        </w:rPr>
        <w:t>Budget</w:t>
      </w:r>
      <w:r>
        <w:rPr>
          <w:rFonts w:ascii="Tahoma" w:cs="Tahoma" w:hAnsi="Tahoma"/>
          <w:bCs/>
          <w:iCs/>
          <w:sz w:val="24"/>
          <w:szCs w:val="24"/>
        </w:rPr>
        <w:t xml:space="preserve">, </w:t>
      </w:r>
      <w:r>
        <w:rPr>
          <w:rFonts w:ascii="Tahoma" w:cs="Tahoma" w:hAnsi="Tahoma"/>
          <w:bCs/>
          <w:iCs/>
          <w:sz w:val="24"/>
          <w:szCs w:val="24"/>
        </w:rPr>
        <w:t>MTEF 202</w:t>
      </w:r>
      <w:r>
        <w:rPr>
          <w:rFonts w:ascii="Tahoma" w:cs="Tahoma" w:hAnsi="Tahoma"/>
          <w:bCs/>
          <w:iCs/>
          <w:sz w:val="24"/>
          <w:szCs w:val="24"/>
        </w:rPr>
        <w:t>2</w:t>
      </w:r>
      <w:r>
        <w:rPr>
          <w:rFonts w:ascii="Tahoma" w:cs="Tahoma" w:hAnsi="Tahoma"/>
          <w:bCs/>
          <w:iCs/>
          <w:sz w:val="24"/>
          <w:szCs w:val="24"/>
        </w:rPr>
        <w:t>-202</w:t>
      </w:r>
      <w:r>
        <w:rPr>
          <w:rFonts w:ascii="Tahoma" w:cs="Tahoma" w:hAnsi="Tahoma"/>
          <w:bCs/>
          <w:iCs/>
          <w:sz w:val="24"/>
          <w:szCs w:val="24"/>
        </w:rPr>
        <w:t>4, and</w:t>
      </w:r>
      <w:r>
        <w:rPr>
          <w:rFonts w:ascii="Tahoma" w:cs="Tahoma" w:hAnsi="Tahoma"/>
          <w:bCs/>
          <w:iCs/>
          <w:sz w:val="24"/>
          <w:szCs w:val="24"/>
        </w:rPr>
        <w:t xml:space="preserve"> the projections period from 202</w:t>
      </w:r>
      <w:r>
        <w:rPr>
          <w:rFonts w:ascii="Tahoma" w:cs="Tahoma" w:hAnsi="Tahoma"/>
          <w:bCs/>
          <w:iCs/>
          <w:sz w:val="24"/>
          <w:szCs w:val="24"/>
        </w:rPr>
        <w:t>5</w:t>
      </w:r>
      <w:r>
        <w:rPr>
          <w:rFonts w:ascii="Tahoma" w:cs="Tahoma" w:hAnsi="Tahoma"/>
          <w:bCs/>
          <w:iCs/>
          <w:sz w:val="24"/>
          <w:szCs w:val="24"/>
        </w:rPr>
        <w:t>-203</w:t>
      </w:r>
      <w:r>
        <w:rPr>
          <w:rFonts w:ascii="Tahoma" w:cs="Tahoma" w:hAnsi="Tahoma"/>
          <w:bCs/>
          <w:iCs/>
          <w:sz w:val="24"/>
          <w:szCs w:val="24"/>
        </w:rPr>
        <w:t>1</w:t>
      </w:r>
      <w:r>
        <w:rPr>
          <w:rFonts w:ascii="Tahoma" w:cs="Tahoma" w:hAnsi="Tahoma"/>
          <w:bCs/>
          <w:iCs/>
          <w:sz w:val="24"/>
          <w:szCs w:val="24"/>
        </w:rPr>
        <w:t xml:space="preserve"> projections as estimated by the official of </w:t>
      </w:r>
      <w:r>
        <w:rPr>
          <w:rFonts w:ascii="Tahoma" w:cs="Tahoma" w:hAnsi="Tahoma"/>
          <w:bCs/>
          <w:iCs/>
          <w:sz w:val="24"/>
          <w:szCs w:val="24"/>
        </w:rPr>
        <w:t>Kano</w:t>
      </w:r>
      <w:r>
        <w:rPr>
          <w:rFonts w:ascii="Tahoma" w:cs="Tahoma" w:hAnsi="Tahoma"/>
          <w:bCs/>
          <w:iCs/>
          <w:sz w:val="24"/>
          <w:szCs w:val="24"/>
        </w:rPr>
        <w:t xml:space="preserve"> State Ministry of Budget and Economic Planning.</w:t>
      </w:r>
    </w:p>
    <w:p>
      <w:pPr>
        <w:pStyle w:val="style0"/>
        <w:spacing w:lineRule="auto" w:line="360"/>
        <w:jc w:val="both"/>
        <w:rPr>
          <w:rFonts w:ascii="Tahoma" w:cs="Tahoma" w:hAnsi="Tahoma"/>
          <w:bCs/>
          <w:iCs/>
          <w:sz w:val="24"/>
          <w:szCs w:val="24"/>
        </w:rPr>
      </w:pPr>
      <w:r>
        <w:rPr>
          <w:noProof/>
        </w:rPr>
        <w:drawing>
          <wp:inline distL="0" distT="0" distB="0" distR="0">
            <wp:extent cx="5905500" cy="3086100"/>
            <wp:effectExtent l="0" t="0" r="0" b="0"/>
            <wp:docPr id="1032"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srcRect l="0" t="0" r="0" b="0"/>
                    <a:stretch/>
                  </pic:blipFill>
                  <pic:spPr>
                    <a:xfrm rot="0">
                      <a:off x="0" y="0"/>
                      <a:ext cx="5905500" cy="3086100"/>
                    </a:xfrm>
                    <a:prstGeom prst="rect"/>
                    <a:ln>
                      <a:noFill/>
                    </a:ln>
                  </pic:spPr>
                </pic:pic>
              </a:graphicData>
            </a:graphic>
          </wp:inline>
        </w:drawing>
      </w:r>
    </w:p>
    <w:p>
      <w:pPr>
        <w:pStyle w:val="style0"/>
        <w:spacing w:lineRule="auto" w:line="360"/>
        <w:jc w:val="both"/>
        <w:rPr>
          <w:rFonts w:ascii="Tahoma" w:cs="Tahoma" w:hAnsi="Tahoma"/>
          <w:bCs/>
          <w:iCs/>
          <w:sz w:val="24"/>
          <w:szCs w:val="24"/>
        </w:rPr>
      </w:pPr>
      <w:r>
        <w:rPr>
          <w:rFonts w:ascii="Tahoma" w:cs="Tahoma" w:hAnsi="Tahoma"/>
          <w:b/>
          <w:iCs/>
          <w:sz w:val="24"/>
          <w:szCs w:val="24"/>
        </w:rPr>
        <w:t>4.3.2</w:t>
      </w:r>
      <w:r>
        <w:rPr>
          <w:rFonts w:ascii="Tahoma" w:cs="Tahoma" w:hAnsi="Tahoma"/>
          <w:b/>
          <w:iCs/>
          <w:sz w:val="24"/>
          <w:szCs w:val="24"/>
        </w:rPr>
        <w:tab/>
      </w:r>
      <w:r>
        <w:rPr>
          <w:rFonts w:ascii="Tahoma" w:cs="Tahoma" w:hAnsi="Tahoma"/>
          <w:b/>
          <w:iCs/>
          <w:sz w:val="24"/>
          <w:szCs w:val="24"/>
        </w:rPr>
        <w:t xml:space="preserve">Expenditure </w:t>
      </w:r>
      <w:r>
        <w:rPr>
          <w:rFonts w:ascii="Tahoma" w:cs="Tahoma" w:hAnsi="Tahoma"/>
          <w:b/>
          <w:iCs/>
          <w:sz w:val="24"/>
          <w:szCs w:val="24"/>
        </w:rPr>
        <w:t>is</w:t>
      </w:r>
      <w:r>
        <w:rPr>
          <w:rFonts w:ascii="Tahoma" w:cs="Tahoma" w:hAnsi="Tahoma"/>
          <w:bCs/>
          <w:iCs/>
          <w:sz w:val="24"/>
          <w:szCs w:val="24"/>
        </w:rPr>
        <w:t xml:space="preserve"> projected to grow </w:t>
      </w:r>
      <w:r>
        <w:rPr>
          <w:rFonts w:ascii="Tahoma" w:cs="Tahoma" w:hAnsi="Tahoma"/>
          <w:bCs/>
          <w:iCs/>
          <w:sz w:val="24"/>
          <w:szCs w:val="24"/>
        </w:rPr>
        <w:t>from N19</w:t>
      </w:r>
      <w:r>
        <w:rPr>
          <w:rFonts w:ascii="Tahoma" w:cs="Tahoma" w:hAnsi="Tahoma"/>
          <w:bCs/>
          <w:iCs/>
          <w:sz w:val="24"/>
          <w:szCs w:val="24"/>
        </w:rPr>
        <w:t>8</w:t>
      </w:r>
      <w:r>
        <w:rPr>
          <w:rFonts w:ascii="Tahoma" w:cs="Tahoma" w:hAnsi="Tahoma"/>
          <w:bCs/>
          <w:iCs/>
          <w:sz w:val="24"/>
          <w:szCs w:val="24"/>
        </w:rPr>
        <w:t>,504</w:t>
      </w:r>
      <w:r>
        <w:rPr>
          <w:rFonts w:ascii="Tahoma" w:cs="Tahoma" w:hAnsi="Tahoma"/>
          <w:bCs/>
          <w:iCs/>
          <w:sz w:val="24"/>
          <w:szCs w:val="24"/>
        </w:rPr>
        <w:t xml:space="preserve"> </w:t>
      </w:r>
      <w:r>
        <w:rPr>
          <w:rFonts w:ascii="Tahoma" w:cs="Tahoma" w:hAnsi="Tahoma"/>
          <w:bCs/>
          <w:iCs/>
          <w:sz w:val="24"/>
          <w:szCs w:val="24"/>
        </w:rPr>
        <w:t>million in 202</w:t>
      </w:r>
      <w:r>
        <w:rPr>
          <w:rFonts w:ascii="Tahoma" w:cs="Tahoma" w:hAnsi="Tahoma"/>
          <w:bCs/>
          <w:iCs/>
          <w:sz w:val="24"/>
          <w:szCs w:val="24"/>
        </w:rPr>
        <w:t>2</w:t>
      </w:r>
      <w:r>
        <w:rPr>
          <w:rFonts w:ascii="Tahoma" w:cs="Tahoma" w:hAnsi="Tahoma"/>
          <w:bCs/>
          <w:iCs/>
          <w:sz w:val="24"/>
          <w:szCs w:val="24"/>
        </w:rPr>
        <w:t>, N19</w:t>
      </w:r>
      <w:r>
        <w:rPr>
          <w:rFonts w:ascii="Tahoma" w:cs="Tahoma" w:hAnsi="Tahoma"/>
          <w:bCs/>
          <w:iCs/>
          <w:sz w:val="24"/>
          <w:szCs w:val="24"/>
        </w:rPr>
        <w:t xml:space="preserve">6,894 million </w:t>
      </w:r>
      <w:r>
        <w:rPr>
          <w:rFonts w:ascii="Tahoma" w:cs="Tahoma" w:hAnsi="Tahoma"/>
          <w:bCs/>
          <w:iCs/>
          <w:sz w:val="24"/>
          <w:szCs w:val="24"/>
        </w:rPr>
        <w:t>in 202</w:t>
      </w:r>
      <w:r>
        <w:rPr>
          <w:rFonts w:ascii="Tahoma" w:cs="Tahoma" w:hAnsi="Tahoma"/>
          <w:bCs/>
          <w:iCs/>
          <w:sz w:val="24"/>
          <w:szCs w:val="24"/>
        </w:rPr>
        <w:t>5</w:t>
      </w:r>
      <w:r>
        <w:rPr>
          <w:rFonts w:ascii="Tahoma" w:cs="Tahoma" w:hAnsi="Tahoma"/>
          <w:bCs/>
          <w:iCs/>
          <w:sz w:val="24"/>
          <w:szCs w:val="24"/>
        </w:rPr>
        <w:t>, N2</w:t>
      </w:r>
      <w:r>
        <w:rPr>
          <w:rFonts w:ascii="Tahoma" w:cs="Tahoma" w:hAnsi="Tahoma"/>
          <w:bCs/>
          <w:iCs/>
          <w:sz w:val="24"/>
          <w:szCs w:val="24"/>
        </w:rPr>
        <w:t xml:space="preserve">28,973 </w:t>
      </w:r>
      <w:r>
        <w:rPr>
          <w:rFonts w:ascii="Tahoma" w:cs="Tahoma" w:hAnsi="Tahoma"/>
          <w:bCs/>
          <w:iCs/>
          <w:sz w:val="24"/>
          <w:szCs w:val="24"/>
        </w:rPr>
        <w:t>million in 202</w:t>
      </w:r>
      <w:r>
        <w:rPr>
          <w:rFonts w:ascii="Tahoma" w:cs="Tahoma" w:hAnsi="Tahoma"/>
          <w:bCs/>
          <w:iCs/>
          <w:sz w:val="24"/>
          <w:szCs w:val="24"/>
        </w:rPr>
        <w:t>8</w:t>
      </w:r>
      <w:r>
        <w:rPr>
          <w:rFonts w:ascii="Tahoma" w:cs="Tahoma" w:hAnsi="Tahoma"/>
          <w:bCs/>
          <w:iCs/>
          <w:sz w:val="24"/>
          <w:szCs w:val="24"/>
        </w:rPr>
        <w:t xml:space="preserve"> and N2</w:t>
      </w:r>
      <w:r>
        <w:rPr>
          <w:rFonts w:ascii="Tahoma" w:cs="Tahoma" w:hAnsi="Tahoma"/>
          <w:bCs/>
          <w:iCs/>
          <w:sz w:val="24"/>
          <w:szCs w:val="24"/>
        </w:rPr>
        <w:t xml:space="preserve">51,347 </w:t>
      </w:r>
      <w:r>
        <w:rPr>
          <w:rFonts w:ascii="Tahoma" w:cs="Tahoma" w:hAnsi="Tahoma"/>
          <w:bCs/>
          <w:iCs/>
          <w:sz w:val="24"/>
          <w:szCs w:val="24"/>
        </w:rPr>
        <w:t>million in 203</w:t>
      </w:r>
      <w:r>
        <w:rPr>
          <w:rFonts w:ascii="Tahoma" w:cs="Tahoma" w:hAnsi="Tahoma"/>
          <w:bCs/>
          <w:iCs/>
          <w:sz w:val="24"/>
          <w:szCs w:val="24"/>
        </w:rPr>
        <w:t>1</w:t>
      </w:r>
      <w:r>
        <w:rPr>
          <w:rFonts w:ascii="Tahoma" w:cs="Tahoma" w:hAnsi="Tahoma"/>
          <w:bCs/>
          <w:iCs/>
          <w:sz w:val="24"/>
          <w:szCs w:val="24"/>
        </w:rPr>
        <w:t>, the Capital expenditure has the largest share over the estimated period. indicating stability in the state growth recovery. The growth in the period is predicated on sustaining effective implementation of the new laws. Government is expected to continue its fiscal strategy of directing resources to the most productive and growth-enhancing sectors, inclu</w:t>
      </w:r>
      <w:r>
        <w:rPr>
          <w:rFonts w:ascii="Tahoma" w:cs="Tahoma" w:hAnsi="Tahoma"/>
          <w:bCs/>
          <w:iCs/>
          <w:sz w:val="24"/>
          <w:szCs w:val="24"/>
        </w:rPr>
        <w:t xml:space="preserve">ding agriculture, youth, </w:t>
      </w:r>
      <w:r>
        <w:rPr>
          <w:rFonts w:ascii="Tahoma" w:cs="Tahoma" w:hAnsi="Tahoma"/>
          <w:bCs/>
          <w:iCs/>
          <w:sz w:val="24"/>
          <w:szCs w:val="24"/>
        </w:rPr>
        <w:t>Housi</w:t>
      </w:r>
      <w:r>
        <w:rPr>
          <w:rFonts w:ascii="Tahoma" w:cs="Tahoma" w:hAnsi="Tahoma"/>
          <w:bCs/>
          <w:iCs/>
          <w:sz w:val="24"/>
          <w:szCs w:val="24"/>
        </w:rPr>
        <w:t>ng</w:t>
      </w:r>
      <w:r>
        <w:rPr>
          <w:rFonts w:ascii="Tahoma" w:cs="Tahoma" w:hAnsi="Tahoma"/>
          <w:bCs/>
          <w:iCs/>
          <w:sz w:val="24"/>
          <w:szCs w:val="24"/>
        </w:rPr>
        <w:t xml:space="preserve">, </w:t>
      </w:r>
      <w:r>
        <w:rPr>
          <w:rFonts w:ascii="Tahoma" w:cs="Tahoma" w:hAnsi="Tahoma"/>
          <w:bCs/>
          <w:iCs/>
          <w:sz w:val="24"/>
          <w:szCs w:val="24"/>
        </w:rPr>
        <w:t>e</w:t>
      </w:r>
      <w:r>
        <w:rPr>
          <w:rFonts w:ascii="Tahoma" w:cs="Tahoma" w:hAnsi="Tahoma"/>
          <w:bCs/>
          <w:iCs/>
          <w:sz w:val="24"/>
          <w:szCs w:val="24"/>
        </w:rPr>
        <w:t>ducation, Health and Water Resources within the period</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Personnel</w:t>
      </w:r>
      <w:r>
        <w:rPr>
          <w:rFonts w:ascii="Tahoma" w:cs="Tahoma" w:hAnsi="Tahoma"/>
          <w:bCs/>
          <w:iCs/>
          <w:sz w:val="24"/>
          <w:szCs w:val="24"/>
        </w:rPr>
        <w:t xml:space="preserve"> </w:t>
      </w:r>
      <w:r>
        <w:rPr>
          <w:rFonts w:ascii="Tahoma" w:cs="Tahoma" w:hAnsi="Tahoma"/>
          <w:bCs/>
          <w:iCs/>
          <w:sz w:val="24"/>
          <w:szCs w:val="24"/>
        </w:rPr>
        <w:t xml:space="preserve">- </w:t>
      </w:r>
      <w:r>
        <w:rPr>
          <w:rFonts w:ascii="Tahoma" w:cs="Tahoma" w:hAnsi="Tahoma"/>
          <w:bCs/>
          <w:iCs/>
          <w:sz w:val="24"/>
          <w:szCs w:val="24"/>
        </w:rPr>
        <w:t xml:space="preserve">The staff auditing is to check abnormalities in the pay roll. The State is determined to sustain the exercise to reduce personnel cost. It is anticipated that the number of political office holders will also be reduced, and the personnel cost is projected </w:t>
      </w:r>
      <w:r>
        <w:rPr>
          <w:rFonts w:ascii="Tahoma" w:cs="Tahoma" w:hAnsi="Tahoma"/>
          <w:bCs/>
          <w:iCs/>
          <w:sz w:val="24"/>
          <w:szCs w:val="24"/>
        </w:rPr>
        <w:t>at N</w:t>
      </w:r>
      <w:r>
        <w:rPr>
          <w:rFonts w:ascii="Tahoma" w:cs="Tahoma" w:hAnsi="Tahoma"/>
          <w:bCs/>
          <w:iCs/>
          <w:sz w:val="24"/>
          <w:szCs w:val="24"/>
        </w:rPr>
        <w:t>6</w:t>
      </w:r>
      <w:r>
        <w:rPr>
          <w:rFonts w:ascii="Tahoma" w:cs="Tahoma" w:hAnsi="Tahoma"/>
          <w:bCs/>
          <w:iCs/>
          <w:sz w:val="24"/>
          <w:szCs w:val="24"/>
        </w:rPr>
        <w:t>6</w:t>
      </w:r>
      <w:r>
        <w:rPr>
          <w:rFonts w:ascii="Tahoma" w:cs="Tahoma" w:hAnsi="Tahoma"/>
          <w:bCs/>
          <w:iCs/>
          <w:sz w:val="24"/>
          <w:szCs w:val="24"/>
        </w:rPr>
        <w:t xml:space="preserve">,037 </w:t>
      </w:r>
      <w:r>
        <w:rPr>
          <w:rFonts w:ascii="Tahoma" w:cs="Tahoma" w:hAnsi="Tahoma"/>
          <w:bCs/>
          <w:iCs/>
          <w:sz w:val="24"/>
          <w:szCs w:val="24"/>
        </w:rPr>
        <w:t>million in 202</w:t>
      </w:r>
      <w:r>
        <w:rPr>
          <w:rFonts w:ascii="Tahoma" w:cs="Tahoma" w:hAnsi="Tahoma"/>
          <w:bCs/>
          <w:iCs/>
          <w:sz w:val="24"/>
          <w:szCs w:val="24"/>
        </w:rPr>
        <w:t>2</w:t>
      </w:r>
      <w:r>
        <w:rPr>
          <w:rFonts w:ascii="Tahoma" w:cs="Tahoma" w:hAnsi="Tahoma"/>
          <w:bCs/>
          <w:iCs/>
          <w:sz w:val="24"/>
          <w:szCs w:val="24"/>
        </w:rPr>
        <w:t>, N6</w:t>
      </w:r>
      <w:r>
        <w:rPr>
          <w:rFonts w:ascii="Tahoma" w:cs="Tahoma" w:hAnsi="Tahoma"/>
          <w:bCs/>
          <w:iCs/>
          <w:sz w:val="24"/>
          <w:szCs w:val="24"/>
        </w:rPr>
        <w:t xml:space="preserve">9,009 </w:t>
      </w:r>
      <w:r>
        <w:rPr>
          <w:rFonts w:ascii="Tahoma" w:cs="Tahoma" w:hAnsi="Tahoma"/>
          <w:bCs/>
          <w:iCs/>
          <w:sz w:val="24"/>
          <w:szCs w:val="24"/>
        </w:rPr>
        <w:t>million in 202</w:t>
      </w:r>
      <w:r>
        <w:rPr>
          <w:rFonts w:ascii="Tahoma" w:cs="Tahoma" w:hAnsi="Tahoma"/>
          <w:bCs/>
          <w:iCs/>
          <w:sz w:val="24"/>
          <w:szCs w:val="24"/>
        </w:rPr>
        <w:t>6</w:t>
      </w:r>
      <w:r>
        <w:rPr>
          <w:rFonts w:ascii="Tahoma" w:cs="Tahoma" w:hAnsi="Tahoma"/>
          <w:bCs/>
          <w:iCs/>
          <w:sz w:val="24"/>
          <w:szCs w:val="24"/>
        </w:rPr>
        <w:t>, N7</w:t>
      </w:r>
      <w:r>
        <w:rPr>
          <w:rFonts w:ascii="Tahoma" w:cs="Tahoma" w:hAnsi="Tahoma"/>
          <w:bCs/>
          <w:iCs/>
          <w:sz w:val="24"/>
          <w:szCs w:val="24"/>
        </w:rPr>
        <w:t xml:space="preserve">7,636 </w:t>
      </w:r>
      <w:r>
        <w:rPr>
          <w:rFonts w:ascii="Tahoma" w:cs="Tahoma" w:hAnsi="Tahoma"/>
          <w:bCs/>
          <w:iCs/>
          <w:sz w:val="24"/>
          <w:szCs w:val="24"/>
        </w:rPr>
        <w:t>million in 202</w:t>
      </w:r>
      <w:r>
        <w:rPr>
          <w:rFonts w:ascii="Tahoma" w:cs="Tahoma" w:hAnsi="Tahoma"/>
          <w:bCs/>
          <w:iCs/>
          <w:sz w:val="24"/>
          <w:szCs w:val="24"/>
        </w:rPr>
        <w:t>9</w:t>
      </w:r>
      <w:r>
        <w:rPr>
          <w:rFonts w:ascii="Tahoma" w:cs="Tahoma" w:hAnsi="Tahoma"/>
          <w:bCs/>
          <w:iCs/>
          <w:sz w:val="24"/>
          <w:szCs w:val="24"/>
        </w:rPr>
        <w:t xml:space="preserve"> and </w:t>
      </w:r>
      <w:r>
        <w:rPr>
          <w:rFonts w:ascii="Tahoma" w:cs="Tahoma" w:hAnsi="Tahoma"/>
          <w:bCs/>
          <w:iCs/>
          <w:sz w:val="24"/>
          <w:szCs w:val="24"/>
        </w:rPr>
        <w:t xml:space="preserve">N84,545 </w:t>
      </w:r>
      <w:r>
        <w:rPr>
          <w:rFonts w:ascii="Tahoma" w:cs="Tahoma" w:hAnsi="Tahoma"/>
          <w:bCs/>
          <w:iCs/>
          <w:sz w:val="24"/>
          <w:szCs w:val="24"/>
        </w:rPr>
        <w:t>million</w:t>
      </w:r>
      <w:r>
        <w:rPr>
          <w:rFonts w:ascii="Tahoma" w:cs="Tahoma" w:hAnsi="Tahoma"/>
          <w:bCs/>
          <w:iCs/>
          <w:sz w:val="24"/>
          <w:szCs w:val="24"/>
        </w:rPr>
        <w:t xml:space="preserve"> </w:t>
      </w:r>
      <w:r>
        <w:rPr>
          <w:rFonts w:ascii="Tahoma" w:cs="Tahoma" w:hAnsi="Tahoma"/>
          <w:bCs/>
          <w:iCs/>
          <w:sz w:val="24"/>
          <w:szCs w:val="24"/>
        </w:rPr>
        <w:t>in 203</w:t>
      </w:r>
      <w:r>
        <w:rPr>
          <w:rFonts w:ascii="Tahoma" w:cs="Tahoma" w:hAnsi="Tahoma"/>
          <w:bCs/>
          <w:iCs/>
          <w:sz w:val="24"/>
          <w:szCs w:val="24"/>
        </w:rPr>
        <w:t>1</w:t>
      </w:r>
      <w:r>
        <w:rPr>
          <w:rFonts w:ascii="Tahoma" w:cs="Tahoma" w:hAnsi="Tahoma"/>
          <w:bCs/>
          <w:iCs/>
          <w:sz w:val="24"/>
          <w:szCs w:val="24"/>
        </w:rPr>
        <w:t xml:space="preserve">, </w:t>
      </w:r>
      <w:r>
        <w:rPr>
          <w:rFonts w:ascii="Tahoma" w:cs="Tahoma" w:hAnsi="Tahoma"/>
          <w:bCs/>
          <w:iCs/>
          <w:sz w:val="24"/>
          <w:szCs w:val="24"/>
        </w:rPr>
        <w:t xml:space="preserve">respectively. </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Overheads</w:t>
      </w:r>
      <w:r>
        <w:rPr>
          <w:rFonts w:ascii="Tahoma" w:cs="Tahoma" w:hAnsi="Tahoma"/>
          <w:bCs/>
          <w:iCs/>
          <w:color w:val="0070c0"/>
          <w:sz w:val="24"/>
          <w:szCs w:val="24"/>
        </w:rPr>
        <w:t xml:space="preserve"> </w:t>
      </w:r>
      <w:r>
        <w:rPr>
          <w:rFonts w:ascii="Tahoma" w:cs="Tahoma" w:hAnsi="Tahoma"/>
          <w:bCs/>
          <w:iCs/>
          <w:color w:val="0070c0"/>
          <w:sz w:val="24"/>
          <w:szCs w:val="24"/>
        </w:rPr>
        <w:t xml:space="preserve">- </w:t>
      </w:r>
      <w:r>
        <w:rPr>
          <w:rFonts w:ascii="Tahoma" w:cs="Tahoma" w:hAnsi="Tahoma"/>
          <w:bCs/>
          <w:iCs/>
          <w:sz w:val="24"/>
          <w:szCs w:val="24"/>
        </w:rPr>
        <w:t>Annual increases were relatively low over the period 2015 and 2016. However, there was a large increase in 2017-2019 and fell in 2020</w:t>
      </w:r>
      <w:r>
        <w:rPr>
          <w:rFonts w:ascii="Tahoma" w:cs="Tahoma" w:hAnsi="Tahoma"/>
          <w:bCs/>
          <w:iCs/>
          <w:sz w:val="24"/>
          <w:szCs w:val="24"/>
        </w:rPr>
        <w:t xml:space="preserve"> and 2021</w:t>
      </w:r>
      <w:r>
        <w:rPr>
          <w:rFonts w:ascii="Tahoma" w:cs="Tahoma" w:hAnsi="Tahoma"/>
          <w:bCs/>
          <w:iCs/>
          <w:sz w:val="24"/>
          <w:szCs w:val="24"/>
        </w:rPr>
        <w:t xml:space="preserve">. Moving average excluding outlier is used to forecast overheads because the expected growth rate for 2022-2024 is expected to </w:t>
      </w:r>
      <w:r>
        <w:rPr>
          <w:rFonts w:ascii="Tahoma" w:cs="Tahoma" w:hAnsi="Tahoma"/>
          <w:bCs/>
          <w:iCs/>
          <w:sz w:val="24"/>
          <w:szCs w:val="24"/>
        </w:rPr>
        <w:t>increase</w:t>
      </w:r>
      <w:r>
        <w:rPr>
          <w:rFonts w:ascii="Tahoma" w:cs="Tahoma" w:hAnsi="Tahoma"/>
          <w:bCs/>
          <w:iCs/>
          <w:sz w:val="24"/>
          <w:szCs w:val="24"/>
        </w:rPr>
        <w:t xml:space="preserve"> from N</w:t>
      </w:r>
      <w:r>
        <w:rPr>
          <w:rFonts w:ascii="Tahoma" w:cs="Tahoma" w:hAnsi="Tahoma"/>
          <w:bCs/>
          <w:iCs/>
          <w:sz w:val="24"/>
          <w:szCs w:val="24"/>
        </w:rPr>
        <w:t>24</w:t>
      </w:r>
      <w:r>
        <w:rPr>
          <w:rFonts w:ascii="Tahoma" w:cs="Tahoma" w:hAnsi="Tahoma"/>
          <w:bCs/>
          <w:iCs/>
          <w:sz w:val="24"/>
          <w:szCs w:val="24"/>
        </w:rPr>
        <w:t xml:space="preserve">,756 </w:t>
      </w:r>
      <w:r>
        <w:rPr>
          <w:rFonts w:ascii="Tahoma" w:cs="Tahoma" w:hAnsi="Tahoma"/>
          <w:bCs/>
          <w:iCs/>
          <w:sz w:val="24"/>
          <w:szCs w:val="24"/>
        </w:rPr>
        <w:t>million in 202</w:t>
      </w:r>
      <w:r>
        <w:rPr>
          <w:rFonts w:ascii="Tahoma" w:cs="Tahoma" w:hAnsi="Tahoma"/>
          <w:bCs/>
          <w:iCs/>
          <w:sz w:val="24"/>
          <w:szCs w:val="24"/>
        </w:rPr>
        <w:t>2</w:t>
      </w:r>
      <w:r>
        <w:rPr>
          <w:rFonts w:ascii="Tahoma" w:cs="Tahoma" w:hAnsi="Tahoma"/>
          <w:bCs/>
          <w:iCs/>
          <w:sz w:val="24"/>
          <w:szCs w:val="24"/>
        </w:rPr>
        <w:t xml:space="preserve"> to N2</w:t>
      </w:r>
      <w:r>
        <w:rPr>
          <w:rFonts w:ascii="Tahoma" w:cs="Tahoma" w:hAnsi="Tahoma"/>
          <w:bCs/>
          <w:iCs/>
          <w:sz w:val="24"/>
          <w:szCs w:val="24"/>
        </w:rPr>
        <w:t xml:space="preserve">3,056 </w:t>
      </w:r>
      <w:r>
        <w:rPr>
          <w:rFonts w:ascii="Tahoma" w:cs="Tahoma" w:hAnsi="Tahoma"/>
          <w:bCs/>
          <w:iCs/>
          <w:sz w:val="24"/>
          <w:szCs w:val="24"/>
        </w:rPr>
        <w:t>million in 203</w:t>
      </w:r>
      <w:r>
        <w:rPr>
          <w:rFonts w:ascii="Tahoma" w:cs="Tahoma" w:hAnsi="Tahoma"/>
          <w:bCs/>
          <w:iCs/>
          <w:sz w:val="24"/>
          <w:szCs w:val="24"/>
        </w:rPr>
        <w:t>1</w:t>
      </w:r>
      <w:r>
        <w:rPr>
          <w:rFonts w:ascii="Tahoma" w:cs="Tahoma" w:hAnsi="Tahoma"/>
          <w:bCs/>
          <w:iCs/>
          <w:sz w:val="24"/>
          <w:szCs w:val="24"/>
        </w:rPr>
        <w:t xml:space="preserve"> respectively</w:t>
      </w:r>
      <w:r>
        <w:rPr>
          <w:rFonts w:ascii="Tahoma" w:cs="Tahoma" w:hAnsi="Tahoma"/>
          <w:bCs/>
          <w:iCs/>
          <w:sz w:val="24"/>
          <w:szCs w:val="24"/>
        </w:rPr>
        <w:t>.</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Total Debt Service</w:t>
      </w:r>
      <w:r>
        <w:rPr>
          <w:rFonts w:ascii="Tahoma" w:cs="Tahoma" w:hAnsi="Tahoma"/>
          <w:bCs/>
          <w:iCs/>
          <w:sz w:val="24"/>
          <w:szCs w:val="24"/>
        </w:rPr>
        <w:t xml:space="preserve"> </w:t>
      </w:r>
      <w:r>
        <w:rPr>
          <w:rFonts w:ascii="Tahoma" w:cs="Tahoma" w:hAnsi="Tahoma"/>
          <w:bCs/>
          <w:iCs/>
          <w:sz w:val="24"/>
          <w:szCs w:val="24"/>
        </w:rPr>
        <w:t xml:space="preserve">- </w:t>
      </w:r>
      <w:r>
        <w:rPr>
          <w:rFonts w:ascii="Tahoma" w:cs="Tahoma" w:hAnsi="Tahoma"/>
          <w:bCs/>
          <w:iCs/>
          <w:sz w:val="24"/>
          <w:szCs w:val="24"/>
        </w:rPr>
        <w:t>is based on the projected principal and interest repayments for 2022, 2023 and 2024. Hence, based on the projection public debt service will remain largely stable with minimal growth over the medium term.</w:t>
      </w:r>
    </w:p>
    <w:p>
      <w:pPr>
        <w:pStyle w:val="style0"/>
        <w:spacing w:lineRule="auto" w:line="360"/>
        <w:jc w:val="both"/>
        <w:rPr>
          <w:rFonts w:ascii="Tahoma" w:cs="Tahoma" w:hAnsi="Tahoma"/>
          <w:bCs/>
          <w:iCs/>
          <w:sz w:val="24"/>
          <w:szCs w:val="24"/>
        </w:rPr>
      </w:pPr>
      <w:r>
        <w:rPr>
          <w:rFonts w:ascii="Tahoma" w:cs="Tahoma" w:hAnsi="Tahoma"/>
          <w:b/>
          <w:iCs/>
          <w:color w:val="0070c0"/>
          <w:sz w:val="24"/>
          <w:szCs w:val="24"/>
        </w:rPr>
        <w:t>Other Recurrent Expenditures</w:t>
      </w:r>
      <w:r>
        <w:rPr>
          <w:rFonts w:ascii="Tahoma" w:cs="Tahoma" w:hAnsi="Tahoma"/>
          <w:bCs/>
          <w:iCs/>
          <w:sz w:val="24"/>
          <w:szCs w:val="24"/>
        </w:rPr>
        <w:t xml:space="preserve"> </w:t>
      </w:r>
      <w:r>
        <w:rPr>
          <w:rFonts w:ascii="Tahoma" w:cs="Tahoma" w:hAnsi="Tahoma"/>
          <w:bCs/>
          <w:iCs/>
          <w:sz w:val="24"/>
          <w:szCs w:val="24"/>
        </w:rPr>
        <w:t xml:space="preserve">- </w:t>
      </w:r>
      <w:r>
        <w:rPr>
          <w:rFonts w:ascii="Tahoma" w:cs="Tahoma" w:hAnsi="Tahoma"/>
          <w:bCs/>
          <w:iCs/>
          <w:sz w:val="24"/>
          <w:szCs w:val="24"/>
        </w:rPr>
        <w:t>other recurrent expenditure comprises Social Contribution and Social Benefits – Pensions and gratuity payments is expected to remain at the level of 202</w:t>
      </w:r>
      <w:r>
        <w:rPr>
          <w:rFonts w:ascii="Tahoma" w:cs="Tahoma" w:hAnsi="Tahoma"/>
          <w:bCs/>
          <w:iCs/>
          <w:sz w:val="24"/>
          <w:szCs w:val="24"/>
        </w:rPr>
        <w:t>1</w:t>
      </w:r>
      <w:r>
        <w:rPr>
          <w:rFonts w:ascii="Tahoma" w:cs="Tahoma" w:hAnsi="Tahoma"/>
          <w:bCs/>
          <w:iCs/>
          <w:sz w:val="24"/>
          <w:szCs w:val="24"/>
        </w:rPr>
        <w:t xml:space="preserve"> actual</w:t>
      </w:r>
      <w:r>
        <w:rPr>
          <w:rFonts w:ascii="Tahoma" w:cs="Tahoma" w:hAnsi="Tahoma"/>
          <w:bCs/>
          <w:iCs/>
          <w:sz w:val="24"/>
          <w:szCs w:val="24"/>
        </w:rPr>
        <w:t>.</w:t>
      </w:r>
    </w:p>
    <w:p>
      <w:pPr>
        <w:pStyle w:val="style0"/>
        <w:spacing w:lineRule="auto" w:line="360"/>
        <w:jc w:val="both"/>
        <w:rPr>
          <w:rFonts w:ascii="Tahoma" w:cs="Tahoma" w:hAnsi="Tahoma"/>
          <w:b/>
          <w:iCs/>
          <w:sz w:val="24"/>
          <w:szCs w:val="24"/>
        </w:rPr>
      </w:pPr>
      <w:r>
        <w:rPr>
          <w:rFonts w:ascii="Tahoma" w:cs="Tahoma" w:hAnsi="Tahoma"/>
          <w:b/>
          <w:iCs/>
          <w:color w:val="0070c0"/>
          <w:sz w:val="24"/>
          <w:szCs w:val="24"/>
        </w:rPr>
        <w:t>Capital Expenditure</w:t>
      </w:r>
      <w:r>
        <w:rPr>
          <w:rFonts w:ascii="Tahoma" w:cs="Tahoma" w:hAnsi="Tahoma"/>
          <w:bCs/>
          <w:iCs/>
          <w:color w:val="0070c0"/>
          <w:sz w:val="24"/>
          <w:szCs w:val="24"/>
        </w:rPr>
        <w:t xml:space="preserve"> </w:t>
      </w:r>
      <w:r>
        <w:rPr>
          <w:rFonts w:ascii="Tahoma" w:cs="Tahoma" w:hAnsi="Tahoma"/>
          <w:bCs/>
          <w:iCs/>
          <w:sz w:val="24"/>
          <w:szCs w:val="24"/>
        </w:rPr>
        <w:t>- is based on the balance from the recurrent account plus capital receipts, less continge</w:t>
      </w:r>
      <w:r>
        <w:rPr>
          <w:rFonts w:ascii="Tahoma" w:cs="Tahoma" w:hAnsi="Tahoma"/>
          <w:bCs/>
          <w:iCs/>
          <w:sz w:val="24"/>
          <w:szCs w:val="24"/>
        </w:rPr>
        <w:t>ncy reserve as outlined above. T</w:t>
      </w:r>
      <w:r>
        <w:rPr>
          <w:rFonts w:ascii="Tahoma" w:cs="Tahoma" w:hAnsi="Tahoma"/>
          <w:bCs/>
          <w:iCs/>
          <w:sz w:val="24"/>
          <w:szCs w:val="24"/>
        </w:rPr>
        <w:t xml:space="preserve">he capital expenditure </w:t>
      </w:r>
      <w:r>
        <w:rPr>
          <w:rFonts w:ascii="Tahoma" w:cs="Tahoma" w:hAnsi="Tahoma"/>
          <w:bCs/>
          <w:iCs/>
          <w:sz w:val="24"/>
          <w:szCs w:val="24"/>
        </w:rPr>
        <w:t xml:space="preserve">projected at </w:t>
      </w:r>
      <w:r>
        <w:rPr>
          <w:rFonts w:ascii="Tahoma" w:cs="Tahoma" w:hAnsi="Tahoma"/>
          <w:bCs/>
          <w:iCs/>
          <w:sz w:val="24"/>
          <w:szCs w:val="24"/>
        </w:rPr>
        <w:t>N</w:t>
      </w:r>
      <w:r>
        <w:rPr>
          <w:rFonts w:ascii="Tahoma" w:cs="Tahoma" w:hAnsi="Tahoma"/>
          <w:bCs/>
          <w:iCs/>
          <w:sz w:val="24"/>
          <w:szCs w:val="24"/>
        </w:rPr>
        <w:t xml:space="preserve">75,065 </w:t>
      </w:r>
      <w:r>
        <w:rPr>
          <w:rFonts w:ascii="Tahoma" w:cs="Tahoma" w:hAnsi="Tahoma"/>
          <w:bCs/>
          <w:iCs/>
          <w:sz w:val="24"/>
          <w:szCs w:val="24"/>
        </w:rPr>
        <w:t>million in 202</w:t>
      </w:r>
      <w:r>
        <w:rPr>
          <w:rFonts w:ascii="Tahoma" w:cs="Tahoma" w:hAnsi="Tahoma"/>
          <w:bCs/>
          <w:iCs/>
          <w:sz w:val="24"/>
          <w:szCs w:val="24"/>
        </w:rPr>
        <w:t>2</w:t>
      </w:r>
      <w:r>
        <w:rPr>
          <w:rFonts w:ascii="Tahoma" w:cs="Tahoma" w:hAnsi="Tahoma"/>
          <w:bCs/>
          <w:iCs/>
          <w:sz w:val="24"/>
          <w:szCs w:val="24"/>
        </w:rPr>
        <w:t>, N</w:t>
      </w:r>
      <w:r>
        <w:rPr>
          <w:rFonts w:ascii="Tahoma" w:cs="Tahoma" w:hAnsi="Tahoma"/>
          <w:bCs/>
          <w:iCs/>
          <w:sz w:val="24"/>
          <w:szCs w:val="24"/>
        </w:rPr>
        <w:t xml:space="preserve">81,461 </w:t>
      </w:r>
      <w:r>
        <w:rPr>
          <w:rFonts w:ascii="Tahoma" w:cs="Tahoma" w:hAnsi="Tahoma"/>
          <w:bCs/>
          <w:iCs/>
          <w:sz w:val="24"/>
          <w:szCs w:val="24"/>
        </w:rPr>
        <w:t xml:space="preserve">million </w:t>
      </w:r>
      <w:r>
        <w:rPr>
          <w:rFonts w:ascii="Tahoma" w:cs="Tahoma" w:hAnsi="Tahoma"/>
          <w:bCs/>
          <w:iCs/>
          <w:sz w:val="24"/>
          <w:szCs w:val="24"/>
        </w:rPr>
        <w:t>in 202</w:t>
      </w:r>
      <w:r>
        <w:rPr>
          <w:rFonts w:ascii="Tahoma" w:cs="Tahoma" w:hAnsi="Tahoma"/>
          <w:bCs/>
          <w:iCs/>
          <w:sz w:val="24"/>
          <w:szCs w:val="24"/>
        </w:rPr>
        <w:t>5</w:t>
      </w:r>
      <w:r>
        <w:rPr>
          <w:rFonts w:ascii="Tahoma" w:cs="Tahoma" w:hAnsi="Tahoma"/>
          <w:bCs/>
          <w:iCs/>
          <w:sz w:val="24"/>
          <w:szCs w:val="24"/>
        </w:rPr>
        <w:t>,</w:t>
      </w:r>
      <w:r>
        <w:rPr>
          <w:rFonts w:ascii="Tahoma" w:cs="Tahoma" w:hAnsi="Tahoma"/>
          <w:bCs/>
          <w:iCs/>
          <w:sz w:val="24"/>
          <w:szCs w:val="24"/>
        </w:rPr>
        <w:t xml:space="preserve"> N</w:t>
      </w:r>
      <w:r>
        <w:rPr>
          <w:rFonts w:ascii="Tahoma" w:cs="Tahoma" w:hAnsi="Tahoma"/>
          <w:bCs/>
          <w:iCs/>
          <w:sz w:val="24"/>
          <w:szCs w:val="24"/>
        </w:rPr>
        <w:t>89,433 m</w:t>
      </w:r>
      <w:r>
        <w:rPr>
          <w:rFonts w:ascii="Tahoma" w:cs="Tahoma" w:hAnsi="Tahoma"/>
          <w:bCs/>
          <w:iCs/>
          <w:sz w:val="24"/>
          <w:szCs w:val="24"/>
        </w:rPr>
        <w:t>illion in 202</w:t>
      </w:r>
      <w:r>
        <w:rPr>
          <w:rFonts w:ascii="Tahoma" w:cs="Tahoma" w:hAnsi="Tahoma"/>
          <w:bCs/>
          <w:iCs/>
          <w:sz w:val="24"/>
          <w:szCs w:val="24"/>
        </w:rPr>
        <w:t>8</w:t>
      </w:r>
      <w:r>
        <w:rPr>
          <w:rFonts w:ascii="Tahoma" w:cs="Tahoma" w:hAnsi="Tahoma"/>
          <w:bCs/>
          <w:iCs/>
          <w:sz w:val="24"/>
          <w:szCs w:val="24"/>
        </w:rPr>
        <w:t>, and N9</w:t>
      </w:r>
      <w:r>
        <w:rPr>
          <w:rFonts w:ascii="Tahoma" w:cs="Tahoma" w:hAnsi="Tahoma"/>
          <w:bCs/>
          <w:iCs/>
          <w:sz w:val="24"/>
          <w:szCs w:val="24"/>
        </w:rPr>
        <w:t>7</w:t>
      </w:r>
      <w:r>
        <w:rPr>
          <w:rFonts w:ascii="Tahoma" w:cs="Tahoma" w:hAnsi="Tahoma"/>
          <w:bCs/>
          <w:iCs/>
          <w:sz w:val="24"/>
          <w:szCs w:val="24"/>
        </w:rPr>
        <w:t>,</w:t>
      </w:r>
      <w:r>
        <w:rPr>
          <w:rFonts w:ascii="Tahoma" w:cs="Tahoma" w:hAnsi="Tahoma"/>
          <w:bCs/>
          <w:iCs/>
          <w:sz w:val="24"/>
          <w:szCs w:val="24"/>
        </w:rPr>
        <w:t>66</w:t>
      </w:r>
      <w:r>
        <w:rPr>
          <w:rFonts w:ascii="Tahoma" w:cs="Tahoma" w:hAnsi="Tahoma"/>
          <w:bCs/>
          <w:iCs/>
          <w:sz w:val="24"/>
          <w:szCs w:val="24"/>
        </w:rPr>
        <w:t xml:space="preserve">8 million in </w:t>
      </w:r>
      <w:r>
        <w:rPr>
          <w:rFonts w:ascii="Tahoma" w:cs="Tahoma" w:hAnsi="Tahoma"/>
          <w:bCs/>
          <w:iCs/>
          <w:sz w:val="24"/>
          <w:szCs w:val="24"/>
        </w:rPr>
        <w:t>20</w:t>
      </w:r>
      <w:r>
        <w:rPr>
          <w:rFonts w:ascii="Tahoma" w:cs="Tahoma" w:hAnsi="Tahoma"/>
          <w:bCs/>
          <w:iCs/>
          <w:sz w:val="24"/>
          <w:szCs w:val="24"/>
        </w:rPr>
        <w:t>3</w:t>
      </w:r>
      <w:r>
        <w:rPr>
          <w:rFonts w:ascii="Tahoma" w:cs="Tahoma" w:hAnsi="Tahoma"/>
          <w:bCs/>
          <w:iCs/>
          <w:sz w:val="24"/>
          <w:szCs w:val="24"/>
        </w:rPr>
        <w:t>1</w:t>
      </w:r>
      <w:r>
        <w:rPr>
          <w:rFonts w:ascii="Tahoma" w:cs="Tahoma" w:hAnsi="Tahoma"/>
          <w:bCs/>
          <w:iCs/>
          <w:sz w:val="24"/>
          <w:szCs w:val="24"/>
        </w:rPr>
        <w:t xml:space="preserve"> respectively</w:t>
      </w:r>
      <w:r>
        <w:rPr>
          <w:rFonts w:ascii="Tahoma" w:cs="Tahoma" w:hAnsi="Tahoma"/>
          <w:bCs/>
          <w:iCs/>
          <w:sz w:val="24"/>
          <w:szCs w:val="24"/>
        </w:rPr>
        <w:t>.</w:t>
      </w:r>
    </w:p>
    <w:p>
      <w:pPr>
        <w:pStyle w:val="style0"/>
        <w:spacing w:lineRule="auto" w:line="360"/>
        <w:jc w:val="both"/>
        <w:rPr>
          <w:rFonts w:ascii="Tahoma" w:cs="Tahoma" w:hAnsi="Tahoma"/>
          <w:b/>
          <w:iCs/>
          <w:sz w:val="24"/>
          <w:szCs w:val="24"/>
        </w:rPr>
      </w:pPr>
      <w:r>
        <w:rPr>
          <w:noProof/>
        </w:rPr>
        <w:drawing>
          <wp:inline distL="0" distT="0" distB="0" distR="0">
            <wp:extent cx="5943600" cy="3086100"/>
            <wp:effectExtent l="0" t="0" r="0" b="0"/>
            <wp:docPr id="1033"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srcRect l="0" t="0" r="0" b="0"/>
                    <a:stretch/>
                  </pic:blipFill>
                  <pic:spPr>
                    <a:xfrm rot="0">
                      <a:off x="0" y="0"/>
                      <a:ext cx="5943600" cy="3086100"/>
                    </a:xfrm>
                    <a:prstGeom prst="rect"/>
                    <a:ln>
                      <a:noFill/>
                    </a:ln>
                  </pic:spPr>
                </pic:pic>
              </a:graphicData>
            </a:graphic>
          </wp:inline>
        </w:drawing>
      </w:r>
    </w:p>
    <w:p>
      <w:pPr>
        <w:pStyle w:val="style0"/>
        <w:spacing w:lineRule="auto" w:line="360"/>
        <w:jc w:val="both"/>
        <w:rPr>
          <w:rFonts w:ascii="Tahoma" w:cs="Tahoma" w:hAnsi="Tahoma"/>
          <w:bCs/>
          <w:iCs/>
          <w:sz w:val="24"/>
          <w:szCs w:val="24"/>
        </w:rPr>
      </w:pPr>
      <w:r>
        <w:rPr>
          <w:rFonts w:ascii="Tahoma" w:cs="Tahoma" w:hAnsi="Tahoma"/>
          <w:b/>
          <w:iCs/>
          <w:sz w:val="24"/>
          <w:szCs w:val="24"/>
        </w:rPr>
        <w:t>Gross Financing Needs (GFN)</w:t>
      </w:r>
      <w:r>
        <w:rPr>
          <w:rFonts w:ascii="Tahoma" w:cs="Tahoma" w:hAnsi="Tahoma"/>
          <w:bCs/>
          <w:iCs/>
          <w:sz w:val="24"/>
          <w:szCs w:val="24"/>
        </w:rPr>
        <w:t xml:space="preserve"> - is the sum of budget deficits and funds required to roll over </w:t>
      </w:r>
      <w:r>
        <w:rPr>
          <w:rFonts w:ascii="Tahoma" w:cs="Tahoma" w:hAnsi="Tahoma"/>
          <w:bCs/>
          <w:iCs/>
          <w:sz w:val="24"/>
          <w:szCs w:val="24"/>
        </w:rPr>
        <w:t xml:space="preserve">debt that matures over the </w:t>
      </w:r>
      <w:r>
        <w:rPr>
          <w:rFonts w:ascii="Tahoma" w:cs="Tahoma" w:hAnsi="Tahoma"/>
          <w:bCs/>
          <w:iCs/>
          <w:sz w:val="24"/>
          <w:szCs w:val="24"/>
        </w:rPr>
        <w:t>year.</w:t>
      </w:r>
      <w:r>
        <w:rPr>
          <w:rFonts w:ascii="Tahoma" w:cs="Tahoma" w:hAnsi="Tahoma"/>
          <w:bCs/>
          <w:iCs/>
          <w:sz w:val="24"/>
          <w:szCs w:val="24"/>
        </w:rPr>
        <w:t xml:space="preserve"> The GFN for K</w:t>
      </w:r>
      <w:r>
        <w:rPr>
          <w:rFonts w:ascii="Tahoma" w:cs="Tahoma" w:hAnsi="Tahoma"/>
          <w:bCs/>
          <w:iCs/>
          <w:sz w:val="24"/>
          <w:szCs w:val="24"/>
        </w:rPr>
        <w:t xml:space="preserve">ano </w:t>
      </w:r>
      <w:r>
        <w:rPr>
          <w:rFonts w:ascii="Tahoma" w:cs="Tahoma" w:hAnsi="Tahoma"/>
          <w:bCs/>
          <w:iCs/>
          <w:sz w:val="24"/>
          <w:szCs w:val="24"/>
        </w:rPr>
        <w:t>State 2022-2024 estimate at N11,600 million in 2022, N11,191 million in 2023, N8,592 million in 2024, respectively. The gross financing needs projection from 2025 to 2031 is estimated to have an average of N30,388.89 million, the period is hinged on the anticipated improvement on the revenue due to the various initiatives and reforms by Government, as well as efficiency and quality of spending.</w:t>
      </w:r>
    </w:p>
    <w:p>
      <w:pPr>
        <w:pStyle w:val="style0"/>
        <w:spacing w:lineRule="auto" w:line="360"/>
        <w:jc w:val="both"/>
        <w:rPr>
          <w:rFonts w:ascii="Tahoma" w:cs="Tahoma" w:hAnsi="Tahoma"/>
          <w:bCs/>
          <w:iCs/>
          <w:sz w:val="24"/>
          <w:szCs w:val="24"/>
        </w:rPr>
      </w:pPr>
      <w:r>
        <w:rPr>
          <w:rFonts w:ascii="Tahoma" w:cs="Tahoma" w:hAnsi="Tahoma"/>
          <w:bCs/>
          <w:iCs/>
          <w:sz w:val="24"/>
          <w:szCs w:val="24"/>
        </w:rPr>
        <w:t>Kano</w:t>
      </w:r>
      <w:r>
        <w:rPr>
          <w:rFonts w:ascii="Tahoma" w:cs="Tahoma" w:hAnsi="Tahoma"/>
          <w:bCs/>
          <w:iCs/>
          <w:sz w:val="24"/>
          <w:szCs w:val="24"/>
        </w:rPr>
        <w:t xml:space="preserve"> State should sustain the current Budget reform </w:t>
      </w:r>
      <w:r>
        <w:rPr>
          <w:rFonts w:ascii="Tahoma" w:cs="Tahoma" w:hAnsi="Tahoma"/>
          <w:bCs/>
          <w:iCs/>
          <w:sz w:val="24"/>
          <w:szCs w:val="24"/>
        </w:rPr>
        <w:t>programme</w:t>
      </w:r>
      <w:r>
        <w:rPr>
          <w:rFonts w:ascii="Tahoma" w:cs="Tahoma" w:hAnsi="Tahoma"/>
          <w:bCs/>
          <w:iCs/>
          <w:sz w:val="24"/>
          <w:szCs w:val="24"/>
        </w:rPr>
        <w:t xml:space="preserve"> particularly as it relates to the preparation of a realistic budget, ensuring policy-plan-budget linkages using the State MTSSs, and early passage of the budget. Efforts should be made to prepare MTSS for other sectors not yet provided for.</w:t>
      </w:r>
    </w:p>
    <w:p>
      <w:pPr>
        <w:pStyle w:val="style0"/>
        <w:spacing w:lineRule="auto" w:line="360"/>
        <w:jc w:val="both"/>
        <w:rPr>
          <w:rFonts w:ascii="Tahoma" w:cs="Tahoma" w:hAnsi="Tahoma"/>
          <w:bCs/>
          <w:iCs/>
          <w:sz w:val="24"/>
          <w:szCs w:val="24"/>
        </w:rPr>
      </w:pPr>
      <w:r>
        <w:rPr>
          <w:rFonts w:ascii="Tahoma" w:cs="Tahoma" w:hAnsi="Tahoma"/>
          <w:bCs/>
          <w:iCs/>
          <w:sz w:val="24"/>
          <w:szCs w:val="24"/>
        </w:rPr>
        <w:t>Kano</w:t>
      </w:r>
      <w:r>
        <w:rPr>
          <w:rFonts w:ascii="Tahoma" w:cs="Tahoma" w:hAnsi="Tahoma"/>
          <w:bCs/>
          <w:iCs/>
          <w:sz w:val="24"/>
          <w:szCs w:val="24"/>
        </w:rPr>
        <w:t xml:space="preserve"> State must continue to monitor the performance of mineral-based revenues to ensure estimates are consistent with the latest development globally and within the Federal Government’s budget process. If the benchmark price of crude in the Federal FSP is lower or higher than $5</w:t>
      </w:r>
      <w:r>
        <w:rPr>
          <w:rFonts w:ascii="Tahoma" w:cs="Tahoma" w:hAnsi="Tahoma"/>
          <w:bCs/>
          <w:iCs/>
          <w:sz w:val="24"/>
          <w:szCs w:val="24"/>
        </w:rPr>
        <w:t>7</w:t>
      </w:r>
      <w:r>
        <w:rPr>
          <w:rFonts w:ascii="Tahoma" w:cs="Tahoma" w:hAnsi="Tahoma"/>
          <w:bCs/>
          <w:iCs/>
          <w:sz w:val="24"/>
          <w:szCs w:val="24"/>
        </w:rPr>
        <w:t xml:space="preserve"> per barrel used herein and IMF, World Bank, OPEC and US Energy Information Administration Reports validates the oil price benchmark provided in Federal FSP, the State should revisit the assumptions and recalculate statutory allocation.</w:t>
      </w:r>
    </w:p>
    <w:p>
      <w:pPr>
        <w:pStyle w:val="style0"/>
        <w:spacing w:lineRule="auto" w:line="360"/>
        <w:jc w:val="both"/>
        <w:rPr>
          <w:rFonts w:ascii="Tahoma" w:cs="Tahoma" w:hAnsi="Tahoma"/>
          <w:bCs/>
          <w:iCs/>
          <w:sz w:val="24"/>
          <w:szCs w:val="24"/>
        </w:rPr>
      </w:pPr>
      <w:r>
        <w:rPr>
          <w:rFonts w:ascii="Tahoma" w:cs="Tahoma" w:hAnsi="Tahoma"/>
          <w:b/>
          <w:iCs/>
          <w:sz w:val="24"/>
          <w:szCs w:val="24"/>
        </w:rPr>
        <w:t xml:space="preserve">Debt Stock </w:t>
      </w:r>
      <w:r>
        <w:rPr>
          <w:rFonts w:ascii="Tahoma" w:cs="Tahoma" w:hAnsi="Tahoma"/>
          <w:iCs/>
          <w:sz w:val="24"/>
          <w:szCs w:val="24"/>
        </w:rPr>
        <w:t>Kano</w:t>
      </w:r>
      <w:r>
        <w:rPr>
          <w:rFonts w:ascii="Tahoma" w:cs="Tahoma" w:hAnsi="Tahoma"/>
          <w:bCs/>
          <w:iCs/>
          <w:sz w:val="24"/>
          <w:szCs w:val="24"/>
        </w:rPr>
        <w:t xml:space="preserve"> State’s Debt Stock estimated to increase from </w:t>
      </w:r>
      <w:r>
        <w:rPr>
          <w:rFonts w:ascii="Tahoma" w:cs="Tahoma" w:hAnsi="Tahoma"/>
          <w:bCs/>
          <w:iCs/>
          <w:sz w:val="24"/>
          <w:szCs w:val="24"/>
        </w:rPr>
        <w:t>N</w:t>
      </w:r>
      <w:r>
        <w:rPr>
          <w:rFonts w:ascii="Tahoma" w:cs="Tahoma" w:hAnsi="Tahoma"/>
          <w:bCs/>
          <w:iCs/>
          <w:sz w:val="24"/>
          <w:szCs w:val="24"/>
        </w:rPr>
        <w:t>1</w:t>
      </w:r>
      <w:r>
        <w:rPr>
          <w:rFonts w:ascii="Tahoma" w:cs="Tahoma" w:hAnsi="Tahoma"/>
          <w:bCs/>
          <w:iCs/>
          <w:sz w:val="24"/>
          <w:szCs w:val="24"/>
        </w:rPr>
        <w:t xml:space="preserve">52,207 </w:t>
      </w:r>
      <w:r>
        <w:rPr>
          <w:rFonts w:ascii="Tahoma" w:cs="Tahoma" w:hAnsi="Tahoma"/>
          <w:bCs/>
          <w:iCs/>
          <w:sz w:val="24"/>
          <w:szCs w:val="24"/>
        </w:rPr>
        <w:t>million in 2022, N1</w:t>
      </w:r>
      <w:r>
        <w:rPr>
          <w:rFonts w:ascii="Tahoma" w:cs="Tahoma" w:hAnsi="Tahoma"/>
          <w:bCs/>
          <w:iCs/>
          <w:sz w:val="24"/>
          <w:szCs w:val="24"/>
        </w:rPr>
        <w:t>4</w:t>
      </w:r>
      <w:r>
        <w:rPr>
          <w:rFonts w:ascii="Tahoma" w:cs="Tahoma" w:hAnsi="Tahoma"/>
          <w:bCs/>
          <w:iCs/>
          <w:sz w:val="24"/>
          <w:szCs w:val="24"/>
        </w:rPr>
        <w:t>4</w:t>
      </w:r>
      <w:r>
        <w:rPr>
          <w:rFonts w:ascii="Tahoma" w:cs="Tahoma" w:hAnsi="Tahoma"/>
          <w:bCs/>
          <w:iCs/>
          <w:sz w:val="24"/>
          <w:szCs w:val="24"/>
        </w:rPr>
        <w:t xml:space="preserve">,503 </w:t>
      </w:r>
      <w:r>
        <w:rPr>
          <w:rFonts w:ascii="Tahoma" w:cs="Tahoma" w:hAnsi="Tahoma"/>
          <w:bCs/>
          <w:iCs/>
          <w:sz w:val="24"/>
          <w:szCs w:val="24"/>
        </w:rPr>
        <w:t>m</w:t>
      </w:r>
      <w:r>
        <w:rPr>
          <w:rFonts w:ascii="Tahoma" w:cs="Tahoma" w:hAnsi="Tahoma"/>
          <w:bCs/>
          <w:iCs/>
          <w:sz w:val="24"/>
          <w:szCs w:val="24"/>
        </w:rPr>
        <w:t>illion in 2023, N</w:t>
      </w:r>
      <w:r>
        <w:rPr>
          <w:rFonts w:ascii="Tahoma" w:cs="Tahoma" w:hAnsi="Tahoma"/>
          <w:bCs/>
          <w:iCs/>
          <w:sz w:val="24"/>
          <w:szCs w:val="24"/>
        </w:rPr>
        <w:t>1</w:t>
      </w:r>
      <w:r>
        <w:rPr>
          <w:rFonts w:ascii="Tahoma" w:cs="Tahoma" w:hAnsi="Tahoma"/>
          <w:bCs/>
          <w:iCs/>
          <w:sz w:val="24"/>
          <w:szCs w:val="24"/>
        </w:rPr>
        <w:t xml:space="preserve">32,672 </w:t>
      </w:r>
      <w:r>
        <w:rPr>
          <w:rFonts w:ascii="Tahoma" w:cs="Tahoma" w:hAnsi="Tahoma"/>
          <w:bCs/>
          <w:iCs/>
          <w:sz w:val="24"/>
          <w:szCs w:val="24"/>
        </w:rPr>
        <w:t>m</w:t>
      </w:r>
      <w:r>
        <w:rPr>
          <w:rFonts w:ascii="Tahoma" w:cs="Tahoma" w:hAnsi="Tahoma"/>
          <w:bCs/>
          <w:iCs/>
          <w:sz w:val="24"/>
          <w:szCs w:val="24"/>
        </w:rPr>
        <w:t>illion in 2024, N</w:t>
      </w:r>
      <w:r>
        <w:rPr>
          <w:rFonts w:ascii="Tahoma" w:cs="Tahoma" w:hAnsi="Tahoma"/>
          <w:bCs/>
          <w:iCs/>
          <w:sz w:val="24"/>
          <w:szCs w:val="24"/>
        </w:rPr>
        <w:t>1</w:t>
      </w:r>
      <w:r>
        <w:rPr>
          <w:rFonts w:ascii="Tahoma" w:cs="Tahoma" w:hAnsi="Tahoma"/>
          <w:bCs/>
          <w:iCs/>
          <w:sz w:val="24"/>
          <w:szCs w:val="24"/>
        </w:rPr>
        <w:t xml:space="preserve">55,240 </w:t>
      </w:r>
      <w:r>
        <w:rPr>
          <w:rFonts w:ascii="Tahoma" w:cs="Tahoma" w:hAnsi="Tahoma"/>
          <w:bCs/>
          <w:iCs/>
          <w:sz w:val="24"/>
          <w:szCs w:val="24"/>
        </w:rPr>
        <w:t>million in 2025, N1</w:t>
      </w:r>
      <w:r>
        <w:rPr>
          <w:rFonts w:ascii="Tahoma" w:cs="Tahoma" w:hAnsi="Tahoma"/>
          <w:bCs/>
          <w:iCs/>
          <w:sz w:val="24"/>
          <w:szCs w:val="24"/>
        </w:rPr>
        <w:t xml:space="preserve">73,930 </w:t>
      </w:r>
      <w:r>
        <w:rPr>
          <w:rFonts w:ascii="Tahoma" w:cs="Tahoma" w:hAnsi="Tahoma"/>
          <w:bCs/>
          <w:iCs/>
          <w:sz w:val="24"/>
          <w:szCs w:val="24"/>
        </w:rPr>
        <w:t>m</w:t>
      </w:r>
      <w:r>
        <w:rPr>
          <w:rFonts w:ascii="Tahoma" w:cs="Tahoma" w:hAnsi="Tahoma"/>
          <w:bCs/>
          <w:iCs/>
          <w:sz w:val="24"/>
          <w:szCs w:val="24"/>
        </w:rPr>
        <w:t>illion in 2026, N</w:t>
      </w:r>
      <w:r>
        <w:rPr>
          <w:rFonts w:ascii="Tahoma" w:cs="Tahoma" w:hAnsi="Tahoma"/>
          <w:bCs/>
          <w:iCs/>
          <w:sz w:val="24"/>
          <w:szCs w:val="24"/>
        </w:rPr>
        <w:t xml:space="preserve">179,964 </w:t>
      </w:r>
      <w:r>
        <w:rPr>
          <w:rFonts w:ascii="Tahoma" w:cs="Tahoma" w:hAnsi="Tahoma"/>
          <w:bCs/>
          <w:iCs/>
          <w:sz w:val="24"/>
          <w:szCs w:val="24"/>
        </w:rPr>
        <w:t>m</w:t>
      </w:r>
      <w:r>
        <w:rPr>
          <w:rFonts w:ascii="Tahoma" w:cs="Tahoma" w:hAnsi="Tahoma"/>
          <w:bCs/>
          <w:iCs/>
          <w:sz w:val="24"/>
          <w:szCs w:val="24"/>
        </w:rPr>
        <w:t>illion in 2027, N</w:t>
      </w:r>
      <w:r>
        <w:rPr>
          <w:rFonts w:ascii="Tahoma" w:cs="Tahoma" w:hAnsi="Tahoma"/>
          <w:bCs/>
          <w:iCs/>
          <w:sz w:val="24"/>
          <w:szCs w:val="24"/>
        </w:rPr>
        <w:t xml:space="preserve">196,077 </w:t>
      </w:r>
      <w:r>
        <w:rPr>
          <w:rFonts w:ascii="Tahoma" w:cs="Tahoma" w:hAnsi="Tahoma"/>
          <w:bCs/>
          <w:iCs/>
          <w:sz w:val="24"/>
          <w:szCs w:val="24"/>
        </w:rPr>
        <w:t>m</w:t>
      </w:r>
      <w:r>
        <w:rPr>
          <w:rFonts w:ascii="Tahoma" w:cs="Tahoma" w:hAnsi="Tahoma"/>
          <w:bCs/>
          <w:iCs/>
          <w:sz w:val="24"/>
          <w:szCs w:val="24"/>
        </w:rPr>
        <w:t>illion in 2028, N</w:t>
      </w:r>
      <w:r>
        <w:rPr>
          <w:rFonts w:ascii="Tahoma" w:cs="Tahoma" w:hAnsi="Tahoma"/>
          <w:bCs/>
          <w:iCs/>
          <w:sz w:val="24"/>
          <w:szCs w:val="24"/>
        </w:rPr>
        <w:t>2</w:t>
      </w:r>
      <w:r>
        <w:rPr>
          <w:rFonts w:ascii="Tahoma" w:cs="Tahoma" w:hAnsi="Tahoma"/>
          <w:bCs/>
          <w:iCs/>
          <w:sz w:val="24"/>
          <w:szCs w:val="24"/>
        </w:rPr>
        <w:t xml:space="preserve">10,276 </w:t>
      </w:r>
      <w:r>
        <w:rPr>
          <w:rFonts w:ascii="Tahoma" w:cs="Tahoma" w:hAnsi="Tahoma"/>
          <w:bCs/>
          <w:iCs/>
          <w:sz w:val="24"/>
          <w:szCs w:val="24"/>
        </w:rPr>
        <w:t>million in 2029, N2</w:t>
      </w:r>
      <w:r>
        <w:rPr>
          <w:rFonts w:ascii="Tahoma" w:cs="Tahoma" w:hAnsi="Tahoma"/>
          <w:bCs/>
          <w:iCs/>
          <w:sz w:val="24"/>
          <w:szCs w:val="24"/>
        </w:rPr>
        <w:t>1</w:t>
      </w:r>
      <w:r>
        <w:rPr>
          <w:rFonts w:ascii="Tahoma" w:cs="Tahoma" w:hAnsi="Tahoma"/>
          <w:bCs/>
          <w:iCs/>
          <w:sz w:val="24"/>
          <w:szCs w:val="24"/>
        </w:rPr>
        <w:t>4</w:t>
      </w:r>
      <w:r>
        <w:rPr>
          <w:rFonts w:ascii="Tahoma" w:cs="Tahoma" w:hAnsi="Tahoma"/>
          <w:bCs/>
          <w:iCs/>
          <w:sz w:val="24"/>
          <w:szCs w:val="24"/>
        </w:rPr>
        <w:t xml:space="preserve">,285 </w:t>
      </w:r>
      <w:r>
        <w:rPr>
          <w:rFonts w:ascii="Tahoma" w:cs="Tahoma" w:hAnsi="Tahoma"/>
          <w:bCs/>
          <w:iCs/>
          <w:sz w:val="24"/>
          <w:szCs w:val="24"/>
        </w:rPr>
        <w:t>m</w:t>
      </w:r>
      <w:r>
        <w:rPr>
          <w:rFonts w:ascii="Tahoma" w:cs="Tahoma" w:hAnsi="Tahoma"/>
          <w:bCs/>
          <w:iCs/>
          <w:sz w:val="24"/>
          <w:szCs w:val="24"/>
        </w:rPr>
        <w:t>illion in 2030</w:t>
      </w:r>
      <w:r>
        <w:rPr>
          <w:rFonts w:ascii="Tahoma" w:cs="Tahoma" w:hAnsi="Tahoma"/>
          <w:bCs/>
          <w:iCs/>
          <w:sz w:val="24"/>
          <w:szCs w:val="24"/>
        </w:rPr>
        <w:t xml:space="preserve"> and N</w:t>
      </w:r>
      <w:r>
        <w:rPr>
          <w:rFonts w:ascii="Tahoma" w:cs="Tahoma" w:hAnsi="Tahoma"/>
          <w:bCs/>
          <w:iCs/>
          <w:sz w:val="24"/>
          <w:szCs w:val="24"/>
        </w:rPr>
        <w:t>214,891 million in 2031</w:t>
      </w:r>
      <w:r>
        <w:rPr>
          <w:rFonts w:ascii="Tahoma" w:cs="Tahoma" w:hAnsi="Tahoma"/>
          <w:bCs/>
          <w:iCs/>
          <w:sz w:val="24"/>
          <w:szCs w:val="24"/>
        </w:rPr>
        <w:t xml:space="preserve">, respectively. </w:t>
      </w:r>
    </w:p>
    <w:p>
      <w:pPr>
        <w:pStyle w:val="style0"/>
        <w:spacing w:lineRule="auto" w:line="360"/>
        <w:jc w:val="both"/>
        <w:rPr>
          <w:noProof/>
        </w:rPr>
      </w:pPr>
      <w:r>
        <w:rPr>
          <w:noProof/>
        </w:rPr>
        <w:drawing>
          <wp:inline distL="0" distT="0" distB="0" distR="0">
            <wp:extent cx="5866130" cy="3286760"/>
            <wp:effectExtent l="0" t="0" r="1270" b="8890"/>
            <wp:docPr id="1034"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1"/>
                    <pic:cNvPicPr/>
                  </pic:nvPicPr>
                  <pic:blipFill>
                    <a:blip r:embed="rId10" cstate="print"/>
                    <a:srcRect l="0" t="0" r="0" b="0"/>
                    <a:stretch/>
                  </pic:blipFill>
                  <pic:spPr>
                    <a:xfrm rot="0">
                      <a:off x="0" y="0"/>
                      <a:ext cx="5866130" cy="3286760"/>
                    </a:xfrm>
                    <a:prstGeom prst="rect"/>
                    <a:ln>
                      <a:noFill/>
                    </a:ln>
                  </pic:spPr>
                </pic:pic>
              </a:graphicData>
            </a:graphic>
          </wp:inline>
        </w:drawing>
      </w:r>
    </w:p>
    <w:p>
      <w:pPr>
        <w:pStyle w:val="style0"/>
        <w:spacing w:lineRule="auto" w:line="360"/>
        <w:jc w:val="both"/>
        <w:rPr>
          <w:rFonts w:ascii="Tahoma" w:cs="Tahoma" w:hAnsi="Tahoma"/>
          <w:bCs/>
          <w:iCs/>
          <w:sz w:val="24"/>
          <w:szCs w:val="24"/>
        </w:rPr>
      </w:pPr>
      <w:r>
        <w:rPr>
          <w:rFonts w:ascii="Tahoma" w:cs="Tahoma" w:hAnsi="Tahoma"/>
          <w:bCs/>
          <w:iCs/>
          <w:sz w:val="24"/>
          <w:szCs w:val="24"/>
        </w:rPr>
        <w:t>Principal Repayment estimated to decline from N20,8</w:t>
      </w:r>
      <w:r>
        <w:rPr>
          <w:rFonts w:ascii="Tahoma" w:cs="Tahoma" w:hAnsi="Tahoma"/>
          <w:bCs/>
          <w:iCs/>
          <w:sz w:val="24"/>
          <w:szCs w:val="24"/>
        </w:rPr>
        <w:t xml:space="preserve">08 </w:t>
      </w:r>
      <w:r>
        <w:rPr>
          <w:rFonts w:ascii="Tahoma" w:cs="Tahoma" w:hAnsi="Tahoma"/>
          <w:bCs/>
          <w:iCs/>
          <w:sz w:val="24"/>
          <w:szCs w:val="24"/>
        </w:rPr>
        <w:t>million in 202</w:t>
      </w:r>
      <w:r>
        <w:rPr>
          <w:rFonts w:ascii="Tahoma" w:cs="Tahoma" w:hAnsi="Tahoma"/>
          <w:bCs/>
          <w:iCs/>
          <w:sz w:val="24"/>
          <w:szCs w:val="24"/>
        </w:rPr>
        <w:t>2</w:t>
      </w:r>
      <w:r>
        <w:rPr>
          <w:rFonts w:ascii="Tahoma" w:cs="Tahoma" w:hAnsi="Tahoma"/>
          <w:bCs/>
          <w:iCs/>
          <w:sz w:val="24"/>
          <w:szCs w:val="24"/>
        </w:rPr>
        <w:t xml:space="preserve"> to N</w:t>
      </w:r>
      <w:r>
        <w:rPr>
          <w:rFonts w:ascii="Tahoma" w:cs="Tahoma" w:hAnsi="Tahoma"/>
          <w:bCs/>
          <w:iCs/>
          <w:sz w:val="24"/>
          <w:szCs w:val="24"/>
        </w:rPr>
        <w:t xml:space="preserve">22,295 </w:t>
      </w:r>
      <w:r>
        <w:rPr>
          <w:rFonts w:ascii="Tahoma" w:cs="Tahoma" w:hAnsi="Tahoma"/>
          <w:bCs/>
          <w:iCs/>
          <w:sz w:val="24"/>
          <w:szCs w:val="24"/>
        </w:rPr>
        <w:t>million in 203</w:t>
      </w:r>
      <w:r>
        <w:rPr>
          <w:rFonts w:ascii="Tahoma" w:cs="Tahoma" w:hAnsi="Tahoma"/>
          <w:bCs/>
          <w:iCs/>
          <w:sz w:val="24"/>
          <w:szCs w:val="24"/>
        </w:rPr>
        <w:t>1</w:t>
      </w:r>
      <w:r>
        <w:rPr>
          <w:rFonts w:ascii="Tahoma" w:cs="Tahoma" w:hAnsi="Tahoma"/>
          <w:bCs/>
          <w:iCs/>
          <w:sz w:val="24"/>
          <w:szCs w:val="24"/>
        </w:rPr>
        <w:t>. Interest Payment N</w:t>
      </w:r>
      <w:r>
        <w:rPr>
          <w:rFonts w:ascii="Tahoma" w:cs="Tahoma" w:hAnsi="Tahoma"/>
          <w:bCs/>
          <w:iCs/>
          <w:sz w:val="24"/>
          <w:szCs w:val="24"/>
        </w:rPr>
        <w:t xml:space="preserve">3,253 </w:t>
      </w:r>
      <w:r>
        <w:rPr>
          <w:rFonts w:ascii="Tahoma" w:cs="Tahoma" w:hAnsi="Tahoma"/>
          <w:bCs/>
          <w:iCs/>
          <w:sz w:val="24"/>
          <w:szCs w:val="24"/>
        </w:rPr>
        <w:t>million in 202</w:t>
      </w:r>
      <w:r>
        <w:rPr>
          <w:rFonts w:ascii="Tahoma" w:cs="Tahoma" w:hAnsi="Tahoma"/>
          <w:bCs/>
          <w:iCs/>
          <w:sz w:val="24"/>
          <w:szCs w:val="24"/>
        </w:rPr>
        <w:t>2</w:t>
      </w:r>
      <w:r>
        <w:rPr>
          <w:rFonts w:ascii="Tahoma" w:cs="Tahoma" w:hAnsi="Tahoma"/>
          <w:bCs/>
          <w:iCs/>
          <w:sz w:val="24"/>
          <w:szCs w:val="24"/>
        </w:rPr>
        <w:t xml:space="preserve"> to N1</w:t>
      </w:r>
      <w:r>
        <w:rPr>
          <w:rFonts w:ascii="Tahoma" w:cs="Tahoma" w:hAnsi="Tahoma"/>
          <w:bCs/>
          <w:iCs/>
          <w:sz w:val="24"/>
          <w:szCs w:val="24"/>
        </w:rPr>
        <w:t xml:space="preserve">4,450 </w:t>
      </w:r>
      <w:r>
        <w:rPr>
          <w:rFonts w:ascii="Tahoma" w:cs="Tahoma" w:hAnsi="Tahoma"/>
          <w:bCs/>
          <w:iCs/>
          <w:sz w:val="24"/>
          <w:szCs w:val="24"/>
        </w:rPr>
        <w:t>million in 203</w:t>
      </w:r>
      <w:r>
        <w:rPr>
          <w:rFonts w:ascii="Tahoma" w:cs="Tahoma" w:hAnsi="Tahoma"/>
          <w:bCs/>
          <w:iCs/>
          <w:sz w:val="24"/>
          <w:szCs w:val="24"/>
        </w:rPr>
        <w:t>1</w:t>
      </w:r>
      <w:r>
        <w:rPr>
          <w:rFonts w:ascii="Tahoma" w:cs="Tahoma" w:hAnsi="Tahoma"/>
          <w:bCs/>
          <w:iCs/>
          <w:sz w:val="24"/>
          <w:szCs w:val="24"/>
        </w:rPr>
        <w:t>. (see Charts 18 to 20, below).</w:t>
      </w:r>
    </w:p>
    <w:p>
      <w:pPr>
        <w:pStyle w:val="style0"/>
        <w:spacing w:lineRule="auto" w:line="360"/>
        <w:jc w:val="both"/>
        <w:rPr>
          <w:noProof/>
        </w:rPr>
      </w:pPr>
      <w:r>
        <w:rPr>
          <w:noProof/>
        </w:rPr>
        <w:drawing>
          <wp:inline distL="0" distT="0" distB="0" distR="0">
            <wp:extent cx="5866130" cy="3286760"/>
            <wp:effectExtent l="0" t="0" r="1270" b="8890"/>
            <wp:docPr id="1035"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2"/>
                    <pic:cNvPicPr/>
                  </pic:nvPicPr>
                  <pic:blipFill>
                    <a:blip r:embed="rId11" cstate="print"/>
                    <a:srcRect l="0" t="0" r="0" b="0"/>
                    <a:stretch/>
                  </pic:blipFill>
                  <pic:spPr>
                    <a:xfrm rot="0">
                      <a:off x="0" y="0"/>
                      <a:ext cx="5866130" cy="3286760"/>
                    </a:xfrm>
                    <a:prstGeom prst="rect"/>
                    <a:ln>
                      <a:noFill/>
                    </a:ln>
                  </pic:spPr>
                </pic:pic>
              </a:graphicData>
            </a:graphic>
          </wp:inline>
        </w:drawing>
      </w:r>
    </w:p>
    <w:p>
      <w:pPr>
        <w:pStyle w:val="style0"/>
        <w:spacing w:lineRule="auto" w:line="360"/>
        <w:jc w:val="both"/>
        <w:rPr>
          <w:noProof/>
        </w:rPr>
      </w:pPr>
    </w:p>
    <w:p>
      <w:pPr>
        <w:pStyle w:val="style0"/>
        <w:spacing w:lineRule="auto" w:line="360"/>
        <w:jc w:val="both"/>
        <w:rPr>
          <w:noProof/>
        </w:rPr>
      </w:pPr>
      <w:r>
        <w:rPr>
          <w:noProof/>
        </w:rPr>
        <w:drawing>
          <wp:inline distL="0" distT="0" distB="0" distR="0">
            <wp:extent cx="5866130" cy="3286760"/>
            <wp:effectExtent l="0" t="0" r="1270" b="8890"/>
            <wp:docPr id="1036"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13"/>
                    <pic:cNvPicPr/>
                  </pic:nvPicPr>
                  <pic:blipFill>
                    <a:blip r:embed="rId12" cstate="print"/>
                    <a:srcRect l="0" t="0" r="0" b="0"/>
                    <a:stretch/>
                  </pic:blipFill>
                  <pic:spPr>
                    <a:xfrm rot="0">
                      <a:off x="0" y="0"/>
                      <a:ext cx="5866130" cy="3286760"/>
                    </a:xfrm>
                    <a:prstGeom prst="rect"/>
                    <a:ln>
                      <a:noFill/>
                    </a:ln>
                  </pic:spPr>
                </pic:pic>
              </a:graphicData>
            </a:graphic>
          </wp:inline>
        </w:drawing>
      </w:r>
    </w:p>
    <w:p>
      <w:pPr>
        <w:pStyle w:val="style0"/>
        <w:spacing w:lineRule="auto" w:line="360"/>
        <w:jc w:val="both"/>
        <w:rPr>
          <w:noProof/>
        </w:rPr>
      </w:pPr>
    </w:p>
    <w:p>
      <w:pPr>
        <w:pStyle w:val="style0"/>
        <w:spacing w:lineRule="auto" w:line="360"/>
        <w:jc w:val="both"/>
        <w:rPr>
          <w:noProof/>
        </w:rPr>
      </w:pPr>
    </w:p>
    <w:p>
      <w:pPr>
        <w:pStyle w:val="style0"/>
        <w:spacing w:lineRule="auto" w:line="360"/>
        <w:jc w:val="both"/>
        <w:rPr>
          <w:rFonts w:ascii="Tahoma" w:cs="Tahoma" w:hAnsi="Tahoma"/>
          <w:bCs/>
          <w:iCs/>
          <w:sz w:val="24"/>
          <w:szCs w:val="24"/>
        </w:rPr>
      </w:pPr>
    </w:p>
    <w:p>
      <w:pPr>
        <w:pStyle w:val="style0"/>
        <w:spacing w:after="0" w:lineRule="auto" w:line="360"/>
        <w:jc w:val="both"/>
        <w:rPr>
          <w:rFonts w:ascii="Tahoma" w:cs="Tahoma" w:hAnsi="Tahoma"/>
          <w:bCs/>
          <w:iCs/>
          <w:sz w:val="24"/>
          <w:szCs w:val="24"/>
        </w:rPr>
      </w:pPr>
      <w:r>
        <w:rPr>
          <w:rFonts w:ascii="Tahoma" w:cs="Tahoma" w:hAnsi="Tahoma"/>
          <w:b/>
          <w:iCs/>
          <w:sz w:val="24"/>
          <w:szCs w:val="24"/>
        </w:rPr>
        <w:t>Main Key Findings</w:t>
      </w:r>
    </w:p>
    <w:p>
      <w:pPr>
        <w:pStyle w:val="style0"/>
        <w:spacing w:lineRule="auto" w:line="360"/>
        <w:jc w:val="both"/>
        <w:rPr>
          <w:rFonts w:ascii="Tahoma" w:cs="Tahoma" w:hAnsi="Tahoma"/>
          <w:bCs/>
          <w:iCs/>
          <w:sz w:val="24"/>
          <w:szCs w:val="24"/>
        </w:rPr>
      </w:pPr>
      <w:r>
        <w:rPr>
          <w:rFonts w:ascii="Tahoma" w:cs="Tahoma" w:hAnsi="Tahoma"/>
          <w:bCs/>
          <w:iCs/>
          <w:sz w:val="24"/>
          <w:szCs w:val="24"/>
        </w:rPr>
        <w:t>On the Tota</w:t>
      </w:r>
      <w:r>
        <w:rPr>
          <w:rFonts w:ascii="Tahoma" w:cs="Tahoma" w:hAnsi="Tahoma"/>
          <w:bCs/>
          <w:iCs/>
          <w:sz w:val="24"/>
          <w:szCs w:val="24"/>
        </w:rPr>
        <w:t xml:space="preserve">l Debt Sustainability Analysis under Baseline Scenario, the Debt Sustainability Analysis results shows that the ratio of Debt as % of GDP is projected at </w:t>
      </w:r>
      <w:r>
        <w:rPr>
          <w:rFonts w:ascii="Tahoma" w:cs="Tahoma" w:hAnsi="Tahoma"/>
          <w:bCs/>
          <w:iCs/>
          <w:sz w:val="24"/>
          <w:szCs w:val="24"/>
        </w:rPr>
        <w:t>3</w:t>
      </w:r>
      <w:r>
        <w:rPr>
          <w:rFonts w:ascii="Tahoma" w:cs="Tahoma" w:hAnsi="Tahoma"/>
          <w:bCs/>
          <w:iCs/>
          <w:sz w:val="24"/>
          <w:szCs w:val="24"/>
        </w:rPr>
        <w:t xml:space="preserve">.27 </w:t>
      </w:r>
      <w:r>
        <w:rPr>
          <w:rFonts w:ascii="Tahoma" w:cs="Tahoma" w:hAnsi="Tahoma"/>
          <w:bCs/>
          <w:iCs/>
          <w:sz w:val="24"/>
          <w:szCs w:val="24"/>
        </w:rPr>
        <w:t>p</w:t>
      </w:r>
      <w:r>
        <w:rPr>
          <w:rFonts w:ascii="Tahoma" w:cs="Tahoma" w:hAnsi="Tahoma"/>
          <w:bCs/>
          <w:iCs/>
          <w:sz w:val="24"/>
          <w:szCs w:val="24"/>
        </w:rPr>
        <w:t>ercent in 202</w:t>
      </w:r>
      <w:r>
        <w:rPr>
          <w:rFonts w:ascii="Tahoma" w:cs="Tahoma" w:hAnsi="Tahoma"/>
          <w:bCs/>
          <w:iCs/>
          <w:sz w:val="24"/>
          <w:szCs w:val="24"/>
        </w:rPr>
        <w:t>2</w:t>
      </w:r>
      <w:r>
        <w:rPr>
          <w:rFonts w:ascii="Tahoma" w:cs="Tahoma" w:hAnsi="Tahoma"/>
          <w:bCs/>
          <w:iCs/>
          <w:sz w:val="24"/>
          <w:szCs w:val="24"/>
        </w:rPr>
        <w:t xml:space="preserve">, </w:t>
      </w:r>
      <w:r>
        <w:rPr>
          <w:rFonts w:ascii="Tahoma" w:cs="Tahoma" w:hAnsi="Tahoma"/>
          <w:bCs/>
          <w:iCs/>
          <w:sz w:val="24"/>
          <w:szCs w:val="24"/>
        </w:rPr>
        <w:t>2.</w:t>
      </w:r>
      <w:r>
        <w:rPr>
          <w:rFonts w:ascii="Tahoma" w:cs="Tahoma" w:hAnsi="Tahoma"/>
          <w:bCs/>
          <w:iCs/>
          <w:sz w:val="24"/>
          <w:szCs w:val="24"/>
        </w:rPr>
        <w:t xml:space="preserve">81 </w:t>
      </w:r>
      <w:r>
        <w:rPr>
          <w:rFonts w:ascii="Tahoma" w:cs="Tahoma" w:hAnsi="Tahoma"/>
          <w:bCs/>
          <w:iCs/>
          <w:sz w:val="24"/>
          <w:szCs w:val="24"/>
        </w:rPr>
        <w:t xml:space="preserve">percent in 2023, </w:t>
      </w:r>
      <w:r>
        <w:rPr>
          <w:rFonts w:ascii="Tahoma" w:cs="Tahoma" w:hAnsi="Tahoma"/>
          <w:bCs/>
          <w:iCs/>
          <w:sz w:val="24"/>
          <w:szCs w:val="24"/>
        </w:rPr>
        <w:t>2.</w:t>
      </w:r>
      <w:r>
        <w:rPr>
          <w:rFonts w:ascii="Tahoma" w:cs="Tahoma" w:hAnsi="Tahoma"/>
          <w:bCs/>
          <w:iCs/>
          <w:sz w:val="24"/>
          <w:szCs w:val="24"/>
        </w:rPr>
        <w:t>3</w:t>
      </w:r>
      <w:r>
        <w:rPr>
          <w:rFonts w:ascii="Tahoma" w:cs="Tahoma" w:hAnsi="Tahoma"/>
          <w:bCs/>
          <w:iCs/>
          <w:sz w:val="24"/>
          <w:szCs w:val="24"/>
        </w:rPr>
        <w:t xml:space="preserve">7 </w:t>
      </w:r>
      <w:r>
        <w:rPr>
          <w:rFonts w:ascii="Tahoma" w:cs="Tahoma" w:hAnsi="Tahoma"/>
          <w:bCs/>
          <w:iCs/>
          <w:sz w:val="24"/>
          <w:szCs w:val="24"/>
        </w:rPr>
        <w:t xml:space="preserve">percent in 2024, </w:t>
      </w:r>
      <w:r>
        <w:rPr>
          <w:rFonts w:ascii="Tahoma" w:cs="Tahoma" w:hAnsi="Tahoma"/>
          <w:bCs/>
          <w:iCs/>
          <w:sz w:val="24"/>
          <w:szCs w:val="24"/>
        </w:rPr>
        <w:t>2.</w:t>
      </w:r>
      <w:r>
        <w:rPr>
          <w:rFonts w:ascii="Tahoma" w:cs="Tahoma" w:hAnsi="Tahoma"/>
          <w:bCs/>
          <w:iCs/>
          <w:sz w:val="24"/>
          <w:szCs w:val="24"/>
        </w:rPr>
        <w:t>55</w:t>
      </w:r>
      <w:r>
        <w:rPr>
          <w:rFonts w:ascii="Tahoma" w:cs="Tahoma" w:hAnsi="Tahoma"/>
          <w:bCs/>
          <w:iCs/>
          <w:sz w:val="24"/>
          <w:szCs w:val="24"/>
        </w:rPr>
        <w:t xml:space="preserve"> </w:t>
      </w:r>
      <w:r>
        <w:rPr>
          <w:rFonts w:ascii="Tahoma" w:cs="Tahoma" w:hAnsi="Tahoma"/>
          <w:bCs/>
          <w:iCs/>
          <w:sz w:val="24"/>
          <w:szCs w:val="24"/>
        </w:rPr>
        <w:t xml:space="preserve">percent in 2025, </w:t>
      </w:r>
      <w:r>
        <w:rPr>
          <w:rFonts w:ascii="Tahoma" w:cs="Tahoma" w:hAnsi="Tahoma"/>
          <w:bCs/>
          <w:iCs/>
          <w:sz w:val="24"/>
          <w:szCs w:val="24"/>
        </w:rPr>
        <w:t>2.6</w:t>
      </w:r>
      <w:r>
        <w:rPr>
          <w:rFonts w:ascii="Tahoma" w:cs="Tahoma" w:hAnsi="Tahoma"/>
          <w:bCs/>
          <w:iCs/>
          <w:sz w:val="24"/>
          <w:szCs w:val="24"/>
        </w:rPr>
        <w:t>1</w:t>
      </w:r>
      <w:r>
        <w:rPr>
          <w:rFonts w:ascii="Tahoma" w:cs="Tahoma" w:hAnsi="Tahoma"/>
          <w:bCs/>
          <w:iCs/>
          <w:sz w:val="24"/>
          <w:szCs w:val="24"/>
        </w:rPr>
        <w:t xml:space="preserve"> </w:t>
      </w:r>
      <w:r>
        <w:rPr>
          <w:rFonts w:ascii="Tahoma" w:cs="Tahoma" w:hAnsi="Tahoma"/>
          <w:bCs/>
          <w:iCs/>
          <w:sz w:val="24"/>
          <w:szCs w:val="24"/>
        </w:rPr>
        <w:t xml:space="preserve">percent in 2026, </w:t>
      </w:r>
      <w:r>
        <w:rPr>
          <w:rFonts w:ascii="Tahoma" w:cs="Tahoma" w:hAnsi="Tahoma"/>
          <w:bCs/>
          <w:iCs/>
          <w:sz w:val="24"/>
          <w:szCs w:val="24"/>
        </w:rPr>
        <w:t>2.</w:t>
      </w:r>
      <w:r>
        <w:rPr>
          <w:rFonts w:ascii="Tahoma" w:cs="Tahoma" w:hAnsi="Tahoma"/>
          <w:bCs/>
          <w:iCs/>
          <w:sz w:val="24"/>
          <w:szCs w:val="24"/>
        </w:rPr>
        <w:t>48</w:t>
      </w:r>
      <w:r>
        <w:rPr>
          <w:rFonts w:ascii="Tahoma" w:cs="Tahoma" w:hAnsi="Tahoma"/>
          <w:bCs/>
          <w:iCs/>
          <w:sz w:val="24"/>
          <w:szCs w:val="24"/>
        </w:rPr>
        <w:t xml:space="preserve"> </w:t>
      </w:r>
      <w:r>
        <w:rPr>
          <w:rFonts w:ascii="Tahoma" w:cs="Tahoma" w:hAnsi="Tahoma"/>
          <w:bCs/>
          <w:iCs/>
          <w:sz w:val="24"/>
          <w:szCs w:val="24"/>
        </w:rPr>
        <w:t xml:space="preserve">percent in 2027, </w:t>
      </w:r>
      <w:r>
        <w:rPr>
          <w:rFonts w:ascii="Tahoma" w:cs="Tahoma" w:hAnsi="Tahoma"/>
          <w:bCs/>
          <w:iCs/>
          <w:sz w:val="24"/>
          <w:szCs w:val="24"/>
        </w:rPr>
        <w:t>2.</w:t>
      </w:r>
      <w:r>
        <w:rPr>
          <w:rFonts w:ascii="Tahoma" w:cs="Tahoma" w:hAnsi="Tahoma"/>
          <w:bCs/>
          <w:iCs/>
          <w:sz w:val="24"/>
          <w:szCs w:val="24"/>
        </w:rPr>
        <w:t>47</w:t>
      </w:r>
      <w:r>
        <w:rPr>
          <w:rFonts w:ascii="Tahoma" w:cs="Tahoma" w:hAnsi="Tahoma"/>
          <w:bCs/>
          <w:iCs/>
          <w:sz w:val="24"/>
          <w:szCs w:val="24"/>
        </w:rPr>
        <w:t xml:space="preserve"> </w:t>
      </w:r>
      <w:r>
        <w:rPr>
          <w:rFonts w:ascii="Tahoma" w:cs="Tahoma" w:hAnsi="Tahoma"/>
          <w:bCs/>
          <w:iCs/>
          <w:sz w:val="24"/>
          <w:szCs w:val="24"/>
        </w:rPr>
        <w:t xml:space="preserve">percent in 2028, </w:t>
      </w:r>
      <w:r>
        <w:rPr>
          <w:rFonts w:ascii="Tahoma" w:cs="Tahoma" w:hAnsi="Tahoma"/>
          <w:bCs/>
          <w:iCs/>
          <w:sz w:val="24"/>
          <w:szCs w:val="24"/>
        </w:rPr>
        <w:t>2.</w:t>
      </w:r>
      <w:r>
        <w:rPr>
          <w:rFonts w:ascii="Tahoma" w:cs="Tahoma" w:hAnsi="Tahoma"/>
          <w:bCs/>
          <w:iCs/>
          <w:sz w:val="24"/>
          <w:szCs w:val="24"/>
        </w:rPr>
        <w:t>43</w:t>
      </w:r>
      <w:r>
        <w:rPr>
          <w:rFonts w:ascii="Tahoma" w:cs="Tahoma" w:hAnsi="Tahoma"/>
          <w:bCs/>
          <w:iCs/>
          <w:sz w:val="24"/>
          <w:szCs w:val="24"/>
        </w:rPr>
        <w:t xml:space="preserve"> </w:t>
      </w:r>
      <w:r>
        <w:rPr>
          <w:rFonts w:ascii="Tahoma" w:cs="Tahoma" w:hAnsi="Tahoma"/>
          <w:bCs/>
          <w:iCs/>
          <w:sz w:val="24"/>
          <w:szCs w:val="24"/>
        </w:rPr>
        <w:t>percent in 2029</w:t>
      </w:r>
      <w:r>
        <w:rPr>
          <w:rFonts w:ascii="Tahoma" w:cs="Tahoma" w:hAnsi="Tahoma"/>
          <w:bCs/>
          <w:iCs/>
          <w:sz w:val="24"/>
          <w:szCs w:val="24"/>
        </w:rPr>
        <w:t xml:space="preserve">, </w:t>
      </w:r>
      <w:r>
        <w:rPr>
          <w:rFonts w:ascii="Tahoma" w:cs="Tahoma" w:hAnsi="Tahoma"/>
          <w:bCs/>
          <w:iCs/>
          <w:sz w:val="24"/>
          <w:szCs w:val="24"/>
        </w:rPr>
        <w:t>2.</w:t>
      </w:r>
      <w:r>
        <w:rPr>
          <w:rFonts w:ascii="Tahoma" w:cs="Tahoma" w:hAnsi="Tahoma"/>
          <w:bCs/>
          <w:iCs/>
          <w:sz w:val="24"/>
          <w:szCs w:val="24"/>
        </w:rPr>
        <w:t>27</w:t>
      </w:r>
      <w:r>
        <w:rPr>
          <w:rFonts w:ascii="Tahoma" w:cs="Tahoma" w:hAnsi="Tahoma"/>
          <w:bCs/>
          <w:iCs/>
          <w:sz w:val="24"/>
          <w:szCs w:val="24"/>
        </w:rPr>
        <w:t xml:space="preserve"> percent in 2030</w:t>
      </w:r>
      <w:r>
        <w:rPr>
          <w:rFonts w:ascii="Tahoma" w:cs="Tahoma" w:hAnsi="Tahoma"/>
          <w:bCs/>
          <w:iCs/>
          <w:sz w:val="24"/>
          <w:szCs w:val="24"/>
        </w:rPr>
        <w:t xml:space="preserve"> and 2.10 percent in 2031</w:t>
      </w:r>
      <w:r>
        <w:rPr>
          <w:rFonts w:ascii="Tahoma" w:cs="Tahoma" w:hAnsi="Tahoma"/>
          <w:bCs/>
          <w:iCs/>
          <w:sz w:val="24"/>
          <w:szCs w:val="24"/>
        </w:rPr>
        <w:t>, respectively, as against the indicative threshold of 25 percent.</w:t>
      </w:r>
    </w:p>
    <w:p>
      <w:pPr>
        <w:pStyle w:val="style0"/>
        <w:spacing w:lineRule="auto" w:line="360"/>
        <w:jc w:val="both"/>
        <w:rPr>
          <w:rFonts w:ascii="Tahoma" w:cs="Tahoma" w:hAnsi="Tahoma"/>
          <w:bCs/>
          <w:iCs/>
          <w:sz w:val="24"/>
          <w:szCs w:val="24"/>
        </w:rPr>
      </w:pPr>
      <w:r>
        <w:rPr>
          <w:rFonts w:ascii="Tahoma" w:cs="Tahoma" w:hAnsi="Tahoma"/>
          <w:bCs/>
          <w:iCs/>
          <w:sz w:val="24"/>
          <w:szCs w:val="24"/>
        </w:rPr>
        <w:t xml:space="preserve">On the Total Debt Sustainability Analysis, the results show that the ratio of Debt to revenue remains below its indicative threshold under the Baseline scenario. </w:t>
      </w:r>
    </w:p>
    <w:p>
      <w:pPr>
        <w:pStyle w:val="style0"/>
        <w:spacing w:lineRule="auto" w:line="360"/>
        <w:jc w:val="both"/>
        <w:rPr>
          <w:rFonts w:ascii="Tahoma" w:cs="Tahoma" w:hAnsi="Tahoma"/>
          <w:bCs/>
          <w:iCs/>
          <w:sz w:val="24"/>
          <w:szCs w:val="24"/>
        </w:rPr>
      </w:pPr>
      <w:r>
        <w:rPr>
          <w:rFonts w:ascii="Tahoma" w:cs="Tahoma" w:hAnsi="Tahoma"/>
          <w:bCs/>
          <w:iCs/>
          <w:sz w:val="24"/>
          <w:szCs w:val="24"/>
        </w:rPr>
        <w:t>202</w:t>
      </w:r>
      <w:r>
        <w:rPr>
          <w:rFonts w:ascii="Tahoma" w:cs="Tahoma" w:hAnsi="Tahoma"/>
          <w:bCs/>
          <w:iCs/>
          <w:sz w:val="24"/>
          <w:szCs w:val="24"/>
        </w:rPr>
        <w:t>2</w:t>
      </w:r>
      <w:r>
        <w:rPr>
          <w:rFonts w:ascii="Tahoma" w:cs="Tahoma" w:hAnsi="Tahoma"/>
          <w:bCs/>
          <w:iCs/>
          <w:sz w:val="24"/>
          <w:szCs w:val="24"/>
        </w:rPr>
        <w:t xml:space="preserve"> DSA exercise shows that there is substantial Space to Borrow based on the state’s current revenue profile.  Meanwhile, the ratios of Debt Service to Revenue and Personnel Cost to Revenue trends remains under the threshold over the projection period from 202</w:t>
      </w:r>
      <w:r>
        <w:rPr>
          <w:rFonts w:ascii="Tahoma" w:cs="Tahoma" w:hAnsi="Tahoma"/>
          <w:bCs/>
          <w:iCs/>
          <w:sz w:val="24"/>
          <w:szCs w:val="24"/>
        </w:rPr>
        <w:t>1</w:t>
      </w:r>
      <w:r>
        <w:rPr>
          <w:rFonts w:ascii="Tahoma" w:cs="Tahoma" w:hAnsi="Tahoma"/>
          <w:bCs/>
          <w:iCs/>
          <w:sz w:val="24"/>
          <w:szCs w:val="24"/>
        </w:rPr>
        <w:t xml:space="preserve"> </w:t>
      </w:r>
      <w:r>
        <w:rPr>
          <w:rFonts w:ascii="Tahoma" w:cs="Tahoma" w:hAnsi="Tahoma"/>
          <w:bCs/>
          <w:iCs/>
          <w:sz w:val="24"/>
          <w:szCs w:val="24"/>
        </w:rPr>
        <w:t>to 20</w:t>
      </w:r>
      <w:r>
        <w:rPr>
          <w:rFonts w:ascii="Tahoma" w:cs="Tahoma" w:hAnsi="Tahoma"/>
          <w:bCs/>
          <w:iCs/>
          <w:sz w:val="24"/>
          <w:szCs w:val="24"/>
        </w:rPr>
        <w:t>30</w:t>
      </w:r>
      <w:r>
        <w:rPr>
          <w:rFonts w:ascii="Tahoma" w:cs="Tahoma" w:hAnsi="Tahoma"/>
          <w:bCs/>
          <w:iCs/>
          <w:sz w:val="24"/>
          <w:szCs w:val="24"/>
        </w:rPr>
        <w:t xml:space="preserve">, with the </w:t>
      </w:r>
      <w:r>
        <w:rPr>
          <w:rFonts w:ascii="Tahoma" w:cs="Tahoma" w:hAnsi="Tahoma"/>
          <w:bCs/>
          <w:iCs/>
          <w:sz w:val="24"/>
          <w:szCs w:val="24"/>
        </w:rPr>
        <w:t>strongminded</w:t>
      </w:r>
      <w:r>
        <w:rPr>
          <w:rFonts w:ascii="Tahoma" w:cs="Tahoma" w:hAnsi="Tahoma"/>
          <w:bCs/>
          <w:iCs/>
          <w:sz w:val="24"/>
          <w:szCs w:val="24"/>
        </w:rPr>
        <w:t xml:space="preserve"> efforts by the State Government through its various initiatives and reforms in the key sectors of the economy.</w:t>
      </w:r>
    </w:p>
    <w:p>
      <w:pPr>
        <w:pStyle w:val="style0"/>
        <w:spacing w:lineRule="auto" w:line="360"/>
        <w:jc w:val="both"/>
        <w:rPr>
          <w:rFonts w:ascii="Tahoma" w:cs="Tahoma" w:hAnsi="Tahoma"/>
          <w:bCs/>
          <w:iCs/>
          <w:sz w:val="24"/>
          <w:szCs w:val="24"/>
        </w:rPr>
      </w:pPr>
      <w:r>
        <w:rPr>
          <w:rFonts w:ascii="Tahoma" w:cs="Tahoma" w:hAnsi="Tahoma"/>
          <w:bCs/>
          <w:iCs/>
          <w:sz w:val="24"/>
          <w:szCs w:val="24"/>
        </w:rPr>
        <w:t>The revenue-based indicators show that the Debt to Revenue for 202</w:t>
      </w:r>
      <w:r>
        <w:rPr>
          <w:rFonts w:ascii="Tahoma" w:cs="Tahoma" w:hAnsi="Tahoma"/>
          <w:bCs/>
          <w:iCs/>
          <w:sz w:val="24"/>
          <w:szCs w:val="24"/>
        </w:rPr>
        <w:t>2</w:t>
      </w:r>
      <w:r>
        <w:rPr>
          <w:rFonts w:ascii="Tahoma" w:cs="Tahoma" w:hAnsi="Tahoma"/>
          <w:bCs/>
          <w:iCs/>
          <w:sz w:val="24"/>
          <w:szCs w:val="24"/>
        </w:rPr>
        <w:t>, 202</w:t>
      </w:r>
      <w:r>
        <w:rPr>
          <w:rFonts w:ascii="Tahoma" w:cs="Tahoma" w:hAnsi="Tahoma"/>
          <w:bCs/>
          <w:iCs/>
          <w:sz w:val="24"/>
          <w:szCs w:val="24"/>
        </w:rPr>
        <w:t>5</w:t>
      </w:r>
      <w:r>
        <w:rPr>
          <w:rFonts w:ascii="Tahoma" w:cs="Tahoma" w:hAnsi="Tahoma"/>
          <w:bCs/>
          <w:iCs/>
          <w:sz w:val="24"/>
          <w:szCs w:val="24"/>
        </w:rPr>
        <w:t>, 202</w:t>
      </w:r>
      <w:r>
        <w:rPr>
          <w:rFonts w:ascii="Tahoma" w:cs="Tahoma" w:hAnsi="Tahoma"/>
          <w:bCs/>
          <w:iCs/>
          <w:sz w:val="24"/>
          <w:szCs w:val="24"/>
        </w:rPr>
        <w:t>8</w:t>
      </w:r>
      <w:r>
        <w:rPr>
          <w:rFonts w:ascii="Tahoma" w:cs="Tahoma" w:hAnsi="Tahoma"/>
          <w:bCs/>
          <w:iCs/>
          <w:sz w:val="24"/>
          <w:szCs w:val="24"/>
        </w:rPr>
        <w:t xml:space="preserve"> and 203</w:t>
      </w:r>
      <w:r>
        <w:rPr>
          <w:rFonts w:ascii="Tahoma" w:cs="Tahoma" w:hAnsi="Tahoma"/>
          <w:bCs/>
          <w:iCs/>
          <w:sz w:val="24"/>
          <w:szCs w:val="24"/>
        </w:rPr>
        <w:t>1</w:t>
      </w:r>
      <w:r>
        <w:rPr>
          <w:rFonts w:ascii="Tahoma" w:cs="Tahoma" w:hAnsi="Tahoma"/>
          <w:bCs/>
          <w:iCs/>
          <w:sz w:val="24"/>
          <w:szCs w:val="24"/>
        </w:rPr>
        <w:t xml:space="preserve"> were projected at </w:t>
      </w:r>
      <w:r>
        <w:rPr>
          <w:rFonts w:ascii="Tahoma" w:cs="Tahoma" w:hAnsi="Tahoma"/>
          <w:bCs/>
          <w:iCs/>
          <w:sz w:val="24"/>
          <w:szCs w:val="24"/>
        </w:rPr>
        <w:t xml:space="preserve">122.10 </w:t>
      </w:r>
      <w:r>
        <w:rPr>
          <w:rFonts w:ascii="Tahoma" w:cs="Tahoma" w:hAnsi="Tahoma"/>
          <w:bCs/>
          <w:iCs/>
          <w:sz w:val="24"/>
          <w:szCs w:val="24"/>
        </w:rPr>
        <w:t>percent</w:t>
      </w:r>
      <w:r>
        <w:rPr>
          <w:rFonts w:ascii="Tahoma" w:cs="Tahoma" w:hAnsi="Tahoma"/>
          <w:bCs/>
          <w:iCs/>
          <w:sz w:val="24"/>
          <w:szCs w:val="24"/>
        </w:rPr>
        <w:t xml:space="preserve">, </w:t>
      </w:r>
      <w:r>
        <w:rPr>
          <w:rFonts w:ascii="Tahoma" w:cs="Tahoma" w:hAnsi="Tahoma"/>
          <w:bCs/>
          <w:iCs/>
          <w:sz w:val="24"/>
          <w:szCs w:val="24"/>
        </w:rPr>
        <w:t xml:space="preserve">91.14 </w:t>
      </w:r>
      <w:r>
        <w:rPr>
          <w:rFonts w:ascii="Tahoma" w:cs="Tahoma" w:hAnsi="Tahoma"/>
          <w:bCs/>
          <w:iCs/>
          <w:sz w:val="24"/>
          <w:szCs w:val="24"/>
        </w:rPr>
        <w:t>percent, 10</w:t>
      </w:r>
      <w:r>
        <w:rPr>
          <w:rFonts w:ascii="Tahoma" w:cs="Tahoma" w:hAnsi="Tahoma"/>
          <w:bCs/>
          <w:iCs/>
          <w:sz w:val="24"/>
          <w:szCs w:val="24"/>
        </w:rPr>
        <w:t xml:space="preserve">1.76 </w:t>
      </w:r>
      <w:r>
        <w:rPr>
          <w:rFonts w:ascii="Tahoma" w:cs="Tahoma" w:hAnsi="Tahoma"/>
          <w:bCs/>
          <w:iCs/>
          <w:sz w:val="24"/>
          <w:szCs w:val="24"/>
        </w:rPr>
        <w:t xml:space="preserve">percent, </w:t>
      </w:r>
      <w:r>
        <w:rPr>
          <w:rFonts w:ascii="Tahoma" w:cs="Tahoma" w:hAnsi="Tahoma"/>
          <w:bCs/>
          <w:iCs/>
          <w:sz w:val="24"/>
          <w:szCs w:val="24"/>
        </w:rPr>
        <w:t xml:space="preserve">and </w:t>
      </w:r>
      <w:r>
        <w:rPr>
          <w:rFonts w:ascii="Tahoma" w:cs="Tahoma" w:hAnsi="Tahoma"/>
          <w:bCs/>
          <w:iCs/>
          <w:sz w:val="24"/>
          <w:szCs w:val="24"/>
        </w:rPr>
        <w:t>9</w:t>
      </w:r>
      <w:r>
        <w:rPr>
          <w:rFonts w:ascii="Tahoma" w:cs="Tahoma" w:hAnsi="Tahoma"/>
          <w:bCs/>
          <w:iCs/>
          <w:sz w:val="24"/>
          <w:szCs w:val="24"/>
        </w:rPr>
        <w:t>6</w:t>
      </w:r>
      <w:r>
        <w:rPr>
          <w:rFonts w:ascii="Tahoma" w:cs="Tahoma" w:hAnsi="Tahoma"/>
          <w:bCs/>
          <w:iCs/>
          <w:sz w:val="24"/>
          <w:szCs w:val="24"/>
        </w:rPr>
        <w:t>.26</w:t>
      </w:r>
      <w:r>
        <w:rPr>
          <w:rFonts w:ascii="Tahoma" w:cs="Tahoma" w:hAnsi="Tahoma"/>
          <w:bCs/>
          <w:iCs/>
          <w:sz w:val="24"/>
          <w:szCs w:val="24"/>
        </w:rPr>
        <w:t xml:space="preserve"> </w:t>
      </w:r>
      <w:r>
        <w:rPr>
          <w:rFonts w:ascii="Tahoma" w:cs="Tahoma" w:hAnsi="Tahoma"/>
          <w:bCs/>
          <w:iCs/>
          <w:sz w:val="24"/>
          <w:szCs w:val="24"/>
        </w:rPr>
        <w:t xml:space="preserve">percent respectively and were still below the threshold of 200 percent. </w:t>
      </w:r>
      <w:r>
        <w:rPr>
          <w:rFonts w:ascii="Tahoma" w:cs="Tahoma" w:hAnsi="Tahoma"/>
          <w:bCs/>
          <w:iCs/>
          <w:sz w:val="24"/>
          <w:szCs w:val="24"/>
        </w:rPr>
        <w:t>Kano</w:t>
      </w:r>
      <w:r>
        <w:rPr>
          <w:rFonts w:ascii="Tahoma" w:cs="Tahoma" w:hAnsi="Tahoma"/>
          <w:bCs/>
          <w:iCs/>
          <w:sz w:val="24"/>
          <w:szCs w:val="24"/>
        </w:rPr>
        <w:t xml:space="preserve"> State would remain under the threshold for Debt to SGDP ratio for 25 percent over the projection period. </w:t>
      </w:r>
    </w:p>
    <w:p>
      <w:pPr>
        <w:pStyle w:val="style0"/>
        <w:spacing w:lineRule="auto" w:line="360"/>
        <w:jc w:val="both"/>
        <w:rPr>
          <w:rFonts w:ascii="Tahoma" w:cs="Tahoma" w:hAnsi="Tahoma"/>
          <w:bCs/>
          <w:iCs/>
          <w:sz w:val="24"/>
          <w:szCs w:val="24"/>
        </w:rPr>
      </w:pPr>
      <w:r>
        <w:rPr>
          <w:rFonts w:ascii="Tahoma" w:cs="Tahoma" w:hAnsi="Tahoma"/>
          <w:bCs/>
          <w:iCs/>
          <w:sz w:val="24"/>
          <w:szCs w:val="24"/>
        </w:rPr>
        <w:t>For the Debt Service to Revenue, the outcome estimates the ratios in 202</w:t>
      </w:r>
      <w:r>
        <w:rPr>
          <w:rFonts w:ascii="Tahoma" w:cs="Tahoma" w:hAnsi="Tahoma"/>
          <w:bCs/>
          <w:iCs/>
          <w:sz w:val="24"/>
          <w:szCs w:val="24"/>
        </w:rPr>
        <w:t>2</w:t>
      </w:r>
      <w:r>
        <w:rPr>
          <w:rFonts w:ascii="Tahoma" w:cs="Tahoma" w:hAnsi="Tahoma"/>
          <w:bCs/>
          <w:iCs/>
          <w:sz w:val="24"/>
          <w:szCs w:val="24"/>
        </w:rPr>
        <w:t xml:space="preserve"> (</w:t>
      </w:r>
      <w:r>
        <w:rPr>
          <w:rFonts w:ascii="Tahoma" w:cs="Tahoma" w:hAnsi="Tahoma"/>
          <w:bCs/>
          <w:iCs/>
          <w:sz w:val="24"/>
          <w:szCs w:val="24"/>
        </w:rPr>
        <w:t xml:space="preserve">13.79 </w:t>
      </w:r>
      <w:r>
        <w:rPr>
          <w:rFonts w:ascii="Tahoma" w:cs="Tahoma" w:hAnsi="Tahoma"/>
          <w:bCs/>
          <w:iCs/>
          <w:sz w:val="24"/>
          <w:szCs w:val="24"/>
        </w:rPr>
        <w:t>percent), 2024 (</w:t>
      </w:r>
      <w:r>
        <w:rPr>
          <w:rFonts w:ascii="Tahoma" w:cs="Tahoma" w:hAnsi="Tahoma"/>
          <w:bCs/>
          <w:iCs/>
          <w:sz w:val="24"/>
          <w:szCs w:val="24"/>
        </w:rPr>
        <w:t>1</w:t>
      </w:r>
      <w:r>
        <w:rPr>
          <w:rFonts w:ascii="Tahoma" w:cs="Tahoma" w:hAnsi="Tahoma"/>
          <w:bCs/>
          <w:iCs/>
          <w:sz w:val="24"/>
          <w:szCs w:val="24"/>
        </w:rPr>
        <w:t xml:space="preserve">4.05 </w:t>
      </w:r>
      <w:r>
        <w:rPr>
          <w:rFonts w:ascii="Tahoma" w:cs="Tahoma" w:hAnsi="Tahoma"/>
          <w:bCs/>
          <w:iCs/>
          <w:sz w:val="24"/>
          <w:szCs w:val="24"/>
        </w:rPr>
        <w:t>percent)</w:t>
      </w:r>
      <w:r>
        <w:rPr>
          <w:rFonts w:ascii="Tahoma" w:cs="Tahoma" w:hAnsi="Tahoma"/>
          <w:bCs/>
          <w:iCs/>
          <w:sz w:val="24"/>
          <w:szCs w:val="24"/>
        </w:rPr>
        <w:t>,</w:t>
      </w:r>
      <w:r>
        <w:rPr>
          <w:rFonts w:ascii="Tahoma" w:cs="Tahoma" w:hAnsi="Tahoma"/>
          <w:bCs/>
          <w:iCs/>
          <w:sz w:val="24"/>
          <w:szCs w:val="24"/>
        </w:rPr>
        <w:t xml:space="preserve"> 202</w:t>
      </w:r>
      <w:r>
        <w:rPr>
          <w:rFonts w:ascii="Tahoma" w:cs="Tahoma" w:hAnsi="Tahoma"/>
          <w:bCs/>
          <w:iCs/>
          <w:sz w:val="24"/>
          <w:szCs w:val="24"/>
        </w:rPr>
        <w:t>6 (</w:t>
      </w:r>
      <w:r>
        <w:rPr>
          <w:rFonts w:ascii="Tahoma" w:cs="Tahoma" w:hAnsi="Tahoma"/>
          <w:bCs/>
          <w:iCs/>
          <w:sz w:val="24"/>
          <w:szCs w:val="24"/>
        </w:rPr>
        <w:t xml:space="preserve">8.61 </w:t>
      </w:r>
      <w:r>
        <w:rPr>
          <w:rFonts w:ascii="Tahoma" w:cs="Tahoma" w:hAnsi="Tahoma"/>
          <w:bCs/>
          <w:iCs/>
          <w:sz w:val="24"/>
          <w:szCs w:val="24"/>
        </w:rPr>
        <w:t>percent), 2028 (</w:t>
      </w:r>
      <w:r>
        <w:rPr>
          <w:rFonts w:ascii="Tahoma" w:cs="Tahoma" w:hAnsi="Tahoma"/>
          <w:bCs/>
          <w:iCs/>
          <w:sz w:val="24"/>
          <w:szCs w:val="24"/>
        </w:rPr>
        <w:t>1</w:t>
      </w:r>
      <w:r>
        <w:rPr>
          <w:rFonts w:ascii="Tahoma" w:cs="Tahoma" w:hAnsi="Tahoma"/>
          <w:bCs/>
          <w:iCs/>
          <w:sz w:val="24"/>
          <w:szCs w:val="24"/>
        </w:rPr>
        <w:t xml:space="preserve">3.23 </w:t>
      </w:r>
      <w:r>
        <w:rPr>
          <w:rFonts w:ascii="Tahoma" w:cs="Tahoma" w:hAnsi="Tahoma"/>
          <w:bCs/>
          <w:iCs/>
          <w:sz w:val="24"/>
          <w:szCs w:val="24"/>
        </w:rPr>
        <w:t>percent)</w:t>
      </w:r>
      <w:r>
        <w:rPr>
          <w:rFonts w:ascii="Tahoma" w:cs="Tahoma" w:hAnsi="Tahoma"/>
          <w:bCs/>
          <w:iCs/>
          <w:sz w:val="24"/>
          <w:szCs w:val="24"/>
        </w:rPr>
        <w:t xml:space="preserve"> and </w:t>
      </w:r>
      <w:r>
        <w:rPr>
          <w:rFonts w:ascii="Tahoma" w:cs="Tahoma" w:hAnsi="Tahoma"/>
          <w:bCs/>
          <w:iCs/>
          <w:sz w:val="24"/>
          <w:szCs w:val="24"/>
        </w:rPr>
        <w:t>203</w:t>
      </w:r>
      <w:r>
        <w:rPr>
          <w:rFonts w:ascii="Tahoma" w:cs="Tahoma" w:hAnsi="Tahoma"/>
          <w:bCs/>
          <w:iCs/>
          <w:sz w:val="24"/>
          <w:szCs w:val="24"/>
        </w:rPr>
        <w:t>1</w:t>
      </w:r>
      <w:r>
        <w:rPr>
          <w:rFonts w:ascii="Tahoma" w:cs="Tahoma" w:hAnsi="Tahoma"/>
          <w:bCs/>
          <w:iCs/>
          <w:sz w:val="24"/>
          <w:szCs w:val="24"/>
        </w:rPr>
        <w:t xml:space="preserve"> (1</w:t>
      </w:r>
      <w:r>
        <w:rPr>
          <w:rFonts w:ascii="Tahoma" w:cs="Tahoma" w:hAnsi="Tahoma"/>
          <w:bCs/>
          <w:iCs/>
          <w:sz w:val="24"/>
          <w:szCs w:val="24"/>
        </w:rPr>
        <w:t>6.</w:t>
      </w:r>
      <w:r>
        <w:rPr>
          <w:rFonts w:ascii="Tahoma" w:cs="Tahoma" w:hAnsi="Tahoma"/>
          <w:bCs/>
          <w:iCs/>
          <w:sz w:val="24"/>
          <w:szCs w:val="24"/>
        </w:rPr>
        <w:t xml:space="preserve">46 </w:t>
      </w:r>
      <w:r>
        <w:rPr>
          <w:rFonts w:ascii="Tahoma" w:cs="Tahoma" w:hAnsi="Tahoma"/>
          <w:bCs/>
          <w:iCs/>
          <w:sz w:val="24"/>
          <w:szCs w:val="24"/>
        </w:rPr>
        <w:t>percent), as against the threshold of 40 percent to the end of the projection period in the medium to long term.</w:t>
      </w:r>
    </w:p>
    <w:p>
      <w:pPr>
        <w:pStyle w:val="style0"/>
        <w:spacing w:lineRule="auto" w:line="360"/>
        <w:jc w:val="both"/>
        <w:rPr>
          <w:rFonts w:ascii="Tahoma" w:cs="Tahoma" w:hAnsi="Tahoma"/>
          <w:bCs/>
          <w:iCs/>
          <w:sz w:val="24"/>
          <w:szCs w:val="24"/>
        </w:rPr>
      </w:pPr>
      <w:r>
        <w:rPr>
          <w:rFonts w:ascii="Tahoma" w:cs="Tahoma" w:hAnsi="Tahoma"/>
          <w:bCs/>
          <w:iCs/>
          <w:sz w:val="24"/>
          <w:szCs w:val="24"/>
        </w:rPr>
        <w:t xml:space="preserve">The Personnel Cost to Revenue remained </w:t>
      </w:r>
      <w:r>
        <w:rPr>
          <w:rFonts w:ascii="Tahoma" w:cs="Tahoma" w:hAnsi="Tahoma"/>
          <w:bCs/>
          <w:iCs/>
          <w:sz w:val="24"/>
          <w:szCs w:val="24"/>
        </w:rPr>
        <w:t>below</w:t>
      </w:r>
      <w:r>
        <w:rPr>
          <w:rFonts w:ascii="Tahoma" w:cs="Tahoma" w:hAnsi="Tahoma"/>
          <w:bCs/>
          <w:iCs/>
          <w:sz w:val="24"/>
          <w:szCs w:val="24"/>
        </w:rPr>
        <w:t xml:space="preserve"> threshold of 60 percent</w:t>
      </w:r>
      <w:r>
        <w:rPr>
          <w:rFonts w:ascii="Tahoma" w:cs="Tahoma" w:hAnsi="Tahoma"/>
          <w:bCs/>
          <w:iCs/>
          <w:sz w:val="24"/>
          <w:szCs w:val="24"/>
        </w:rPr>
        <w:t xml:space="preserve"> from </w:t>
      </w:r>
      <w:r>
        <w:rPr>
          <w:rFonts w:ascii="Tahoma" w:cs="Tahoma" w:hAnsi="Tahoma"/>
          <w:bCs/>
          <w:iCs/>
          <w:sz w:val="24"/>
          <w:szCs w:val="24"/>
        </w:rPr>
        <w:t xml:space="preserve">37.86 </w:t>
      </w:r>
      <w:r>
        <w:rPr>
          <w:rFonts w:ascii="Tahoma" w:cs="Tahoma" w:hAnsi="Tahoma"/>
          <w:bCs/>
          <w:iCs/>
          <w:sz w:val="24"/>
          <w:szCs w:val="24"/>
        </w:rPr>
        <w:t>p</w:t>
      </w:r>
      <w:r>
        <w:rPr>
          <w:rFonts w:ascii="Tahoma" w:cs="Tahoma" w:hAnsi="Tahoma"/>
          <w:bCs/>
          <w:iCs/>
          <w:sz w:val="24"/>
          <w:szCs w:val="24"/>
        </w:rPr>
        <w:t>ercent in 202</w:t>
      </w:r>
      <w:r>
        <w:rPr>
          <w:rFonts w:ascii="Tahoma" w:cs="Tahoma" w:hAnsi="Tahoma"/>
          <w:bCs/>
          <w:iCs/>
          <w:sz w:val="24"/>
          <w:szCs w:val="24"/>
        </w:rPr>
        <w:t>2</w:t>
      </w:r>
      <w:r>
        <w:rPr>
          <w:rFonts w:ascii="Tahoma" w:cs="Tahoma" w:hAnsi="Tahoma"/>
          <w:bCs/>
          <w:iCs/>
          <w:sz w:val="24"/>
          <w:szCs w:val="24"/>
        </w:rPr>
        <w:t xml:space="preserve">, </w:t>
      </w:r>
      <w:r>
        <w:rPr>
          <w:rFonts w:ascii="Tahoma" w:cs="Tahoma" w:hAnsi="Tahoma"/>
          <w:bCs/>
          <w:iCs/>
          <w:sz w:val="24"/>
          <w:szCs w:val="24"/>
        </w:rPr>
        <w:t>3</w:t>
      </w:r>
      <w:r>
        <w:rPr>
          <w:rFonts w:ascii="Tahoma" w:cs="Tahoma" w:hAnsi="Tahoma"/>
          <w:bCs/>
          <w:iCs/>
          <w:sz w:val="24"/>
          <w:szCs w:val="24"/>
        </w:rPr>
        <w:t xml:space="preserve">8.83 </w:t>
      </w:r>
      <w:r>
        <w:rPr>
          <w:rFonts w:ascii="Tahoma" w:cs="Tahoma" w:hAnsi="Tahoma"/>
          <w:bCs/>
          <w:iCs/>
          <w:sz w:val="24"/>
          <w:szCs w:val="24"/>
        </w:rPr>
        <w:t>percent in 202</w:t>
      </w:r>
      <w:r>
        <w:rPr>
          <w:rFonts w:ascii="Tahoma" w:cs="Tahoma" w:hAnsi="Tahoma"/>
          <w:bCs/>
          <w:iCs/>
          <w:sz w:val="24"/>
          <w:szCs w:val="24"/>
        </w:rPr>
        <w:t>5</w:t>
      </w:r>
      <w:r>
        <w:rPr>
          <w:rFonts w:ascii="Tahoma" w:cs="Tahoma" w:hAnsi="Tahoma"/>
          <w:bCs/>
          <w:iCs/>
          <w:sz w:val="24"/>
          <w:szCs w:val="24"/>
        </w:rPr>
        <w:t>, 38.</w:t>
      </w:r>
      <w:r>
        <w:rPr>
          <w:rFonts w:ascii="Tahoma" w:cs="Tahoma" w:hAnsi="Tahoma"/>
          <w:bCs/>
          <w:iCs/>
          <w:sz w:val="24"/>
          <w:szCs w:val="24"/>
        </w:rPr>
        <w:t xml:space="preserve">80 </w:t>
      </w:r>
      <w:r>
        <w:rPr>
          <w:rFonts w:ascii="Tahoma" w:cs="Tahoma" w:hAnsi="Tahoma"/>
          <w:bCs/>
          <w:iCs/>
          <w:sz w:val="24"/>
          <w:szCs w:val="24"/>
        </w:rPr>
        <w:t>percent in 202</w:t>
      </w:r>
      <w:r>
        <w:rPr>
          <w:rFonts w:ascii="Tahoma" w:cs="Tahoma" w:hAnsi="Tahoma"/>
          <w:bCs/>
          <w:iCs/>
          <w:sz w:val="24"/>
          <w:szCs w:val="24"/>
        </w:rPr>
        <w:t>8</w:t>
      </w:r>
      <w:r>
        <w:rPr>
          <w:rFonts w:ascii="Tahoma" w:cs="Tahoma" w:hAnsi="Tahoma"/>
          <w:bCs/>
          <w:iCs/>
          <w:sz w:val="24"/>
          <w:szCs w:val="24"/>
        </w:rPr>
        <w:t>, and 3</w:t>
      </w:r>
      <w:r>
        <w:rPr>
          <w:rFonts w:ascii="Tahoma" w:cs="Tahoma" w:hAnsi="Tahoma"/>
          <w:bCs/>
          <w:iCs/>
          <w:sz w:val="24"/>
          <w:szCs w:val="24"/>
        </w:rPr>
        <w:t xml:space="preserve">7.87 </w:t>
      </w:r>
      <w:r>
        <w:rPr>
          <w:rFonts w:ascii="Tahoma" w:cs="Tahoma" w:hAnsi="Tahoma"/>
          <w:bCs/>
          <w:iCs/>
          <w:sz w:val="24"/>
          <w:szCs w:val="24"/>
        </w:rPr>
        <w:t>percent in 203</w:t>
      </w:r>
      <w:r>
        <w:rPr>
          <w:rFonts w:ascii="Tahoma" w:cs="Tahoma" w:hAnsi="Tahoma"/>
          <w:bCs/>
          <w:iCs/>
          <w:sz w:val="24"/>
          <w:szCs w:val="24"/>
        </w:rPr>
        <w:t>1</w:t>
      </w:r>
      <w:r>
        <w:rPr>
          <w:rFonts w:ascii="Tahoma" w:cs="Tahoma" w:hAnsi="Tahoma"/>
          <w:bCs/>
          <w:iCs/>
          <w:sz w:val="24"/>
          <w:szCs w:val="24"/>
        </w:rPr>
        <w:t xml:space="preserve"> Thus, </w:t>
      </w:r>
      <w:r>
        <w:rPr>
          <w:rFonts w:ascii="Tahoma" w:cs="Tahoma" w:hAnsi="Tahoma"/>
          <w:bCs/>
          <w:iCs/>
          <w:sz w:val="24"/>
          <w:szCs w:val="24"/>
        </w:rPr>
        <w:t>Kano</w:t>
      </w:r>
      <w:r>
        <w:rPr>
          <w:rFonts w:ascii="Tahoma" w:cs="Tahoma" w:hAnsi="Tahoma"/>
          <w:bCs/>
          <w:iCs/>
          <w:sz w:val="24"/>
          <w:szCs w:val="24"/>
        </w:rPr>
        <w:t xml:space="preserve"> State Debt remained sustainable on the revenue and debt indicators.</w:t>
      </w:r>
    </w:p>
    <w:p>
      <w:pPr>
        <w:pStyle w:val="style0"/>
        <w:spacing w:lineRule="auto" w:line="360"/>
        <w:jc w:val="both"/>
        <w:rPr>
          <w:rFonts w:ascii="Tahoma" w:cs="Tahoma" w:hAnsi="Tahoma"/>
          <w:bCs/>
          <w:iCs/>
          <w:sz w:val="24"/>
          <w:szCs w:val="24"/>
        </w:rPr>
      </w:pPr>
      <w:r>
        <w:rPr>
          <w:rFonts w:ascii="Tahoma" w:cs="Tahoma" w:hAnsi="Tahoma"/>
          <w:bCs/>
          <w:iCs/>
          <w:sz w:val="24"/>
          <w:szCs w:val="24"/>
        </w:rPr>
        <w:t>Debt Service to Gross FAAC Allocation estimated at 19.79 percent in 2022, 13.90 percent in 2026 and 25.62 percent in 2031. Interest to Revenue projected at 1.86 percent in 2022, 4.68 percent in 2026 and 6.47 percent in 2031. External Debt Service to Revenue 0.69 percent in 2022, 0.91 percent in 2026 and 1.09 percent in 2031.</w:t>
      </w:r>
    </w:p>
    <w:p>
      <w:pPr>
        <w:pStyle w:val="style0"/>
        <w:spacing w:after="0" w:lineRule="auto" w:line="360"/>
        <w:jc w:val="both"/>
        <w:rPr>
          <w:rFonts w:ascii="Tahoma" w:cs="Tahoma" w:hAnsi="Tahoma"/>
          <w:bCs/>
          <w:iCs/>
          <w:sz w:val="24"/>
          <w:szCs w:val="24"/>
        </w:rPr>
      </w:pPr>
      <w:r>
        <w:rPr>
          <w:rFonts w:ascii="Tahoma" w:cs="Tahoma" w:hAnsi="Tahoma"/>
          <w:b/>
          <w:bCs/>
          <w:sz w:val="24"/>
          <w:szCs w:val="24"/>
        </w:rPr>
        <w:t>Kano State Debt burden indicators</w:t>
      </w:r>
      <w:r>
        <w:rPr>
          <w:rFonts w:ascii="Tahoma" w:cs="Tahoma" w:hAnsi="Tahoma"/>
          <w:b/>
          <w:bCs/>
          <w:sz w:val="24"/>
          <w:szCs w:val="24"/>
        </w:rPr>
        <w:t>, 2022-2031</w:t>
      </w:r>
    </w:p>
    <w:tbl>
      <w:tblPr>
        <w:tblW w:w="10060" w:type="dxa"/>
        <w:tblLook w:val="04A0" w:firstRow="1" w:lastRow="0" w:firstColumn="1" w:lastColumn="0" w:noHBand="0" w:noVBand="1"/>
      </w:tblPr>
      <w:tblGrid>
        <w:gridCol w:w="2920"/>
        <w:gridCol w:w="936"/>
        <w:gridCol w:w="616"/>
        <w:gridCol w:w="616"/>
        <w:gridCol w:w="616"/>
        <w:gridCol w:w="616"/>
        <w:gridCol w:w="616"/>
        <w:gridCol w:w="616"/>
        <w:gridCol w:w="716"/>
        <w:gridCol w:w="716"/>
        <w:gridCol w:w="716"/>
        <w:gridCol w:w="616"/>
      </w:tblGrid>
      <w:tr>
        <w:trPr>
          <w:trHeight w:val="286" w:hRule="atLeast"/>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000000"/>
                <w:sz w:val="16"/>
                <w:szCs w:val="16"/>
              </w:rPr>
            </w:pPr>
            <w:r>
              <w:rPr>
                <w:rFonts w:ascii="Calibri" w:cs="Calibri" w:eastAsia="Times New Roman" w:hAnsi="Calibri"/>
                <w:b/>
                <w:bCs/>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Threshold</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2022</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2023</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2024</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2025</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2026</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2027</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2028</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2029</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2030</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000000"/>
                <w:sz w:val="16"/>
                <w:szCs w:val="16"/>
              </w:rPr>
            </w:pPr>
            <w:r>
              <w:rPr>
                <w:rFonts w:ascii="Calibri" w:cs="Calibri" w:eastAsia="Times New Roman" w:hAnsi="Calibri"/>
                <w:b/>
                <w:bCs/>
                <w:color w:val="000000"/>
                <w:sz w:val="16"/>
                <w:szCs w:val="16"/>
              </w:rPr>
              <w:t>2031</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Debt as % of SGDP</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3.27</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2.81</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2.37</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2.55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2.61</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2.48</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2.47</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2.43</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2.27</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2.10</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Debt as % of Revenue</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200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87.25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90.57</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75.63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91.14</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97.63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96.98</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101.76</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105.17</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103.40</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96.26</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Debt Service as % of Revenue</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40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13.79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14.24</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14.05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6.91</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8.61</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11.07</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13.23</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15.83</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16.86</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16.46</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Personnel Cost as % of Revenue</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60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37.86</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34.02</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31.88</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38.83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38.74</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38.74</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38.80</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38.83</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38.85</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37.87</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Debt Service as a share of Gross FAAC Allocation</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19.79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20.40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22.88</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11.20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13.90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17.82</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21.27</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25.39</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26.99</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25.62</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Interest as a share of Revenue</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1.86</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2.40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2.85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3.39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4.68</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5.51</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5.93</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6.88</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6.99</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6.47</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External Debt Service as a share of Revenue</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0.69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0.78</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0.78</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0.84</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0.91</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0.98</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0.91</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0.92</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1.03</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1.09</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Gross Financing Needs as a share of SGDP</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0.22</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0.56</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0.48</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0.32</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0.47</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0.46</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0.34</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0.31</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Overall Balance as a share of SGDP</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-0.52</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-0.44</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-0.42</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-0.40</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-0.46</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-0.45</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-0.38</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-0.27</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Primary Balance as a share of SGDP</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-0.45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-0.15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-0.34</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-0.26</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-0.31</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-0.29</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-0.22</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-0.13</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Revenue as a share of SGDP</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3.75</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3.10</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3.13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2.79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2.68</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2.55</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2.43</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2.31</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2.19</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2.18</w:t>
            </w:r>
          </w:p>
        </w:tc>
      </w:tr>
      <w:tr>
        <w:tblPrEx/>
        <w:trPr>
          <w:trHeight w:val="286" w:hRule="atLeast"/>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sz w:val="16"/>
                <w:szCs w:val="16"/>
              </w:rPr>
            </w:pPr>
            <w:r>
              <w:rPr>
                <w:rFonts w:ascii="Calibri" w:cs="Calibri" w:eastAsia="Times New Roman" w:hAnsi="Calibri"/>
                <w:color w:val="000000"/>
                <w:sz w:val="16"/>
                <w:szCs w:val="16"/>
              </w:rPr>
              <w:t>Expenditures as a share of SGDP</w:t>
            </w:r>
          </w:p>
        </w:tc>
        <w:tc>
          <w:tcPr>
            <w:tcW w:w="86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nil</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4.26</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3.33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3.52</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3.23</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3.09</w:t>
            </w:r>
          </w:p>
        </w:tc>
        <w:tc>
          <w:tcPr>
            <w:tcW w:w="58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2.95</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2.89</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2.76</w:t>
            </w:r>
          </w:p>
        </w:tc>
        <w:tc>
          <w:tcPr>
            <w:tcW w:w="66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2.57</w:t>
            </w:r>
          </w:p>
        </w:tc>
        <w:tc>
          <w:tcPr>
            <w:tcW w:w="325"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sz w:val="16"/>
                <w:szCs w:val="16"/>
              </w:rPr>
            </w:pPr>
            <w:r>
              <w:rPr>
                <w:rFonts w:ascii="Calibri" w:cs="Calibri" w:eastAsia="Times New Roman" w:hAnsi="Calibri"/>
                <w:color w:val="000000"/>
                <w:sz w:val="16"/>
                <w:szCs w:val="16"/>
              </w:rPr>
              <w:t>2.45</w:t>
            </w:r>
          </w:p>
        </w:tc>
      </w:tr>
    </w:tbl>
    <w:p>
      <w:pPr>
        <w:pStyle w:val="style0"/>
        <w:spacing w:lineRule="auto" w:line="360"/>
        <w:jc w:val="both"/>
        <w:rPr>
          <w:rFonts w:ascii="Tahoma" w:cs="Tahoma" w:hAnsi="Tahoma"/>
          <w:bCs/>
          <w:iCs/>
          <w:sz w:val="24"/>
          <w:szCs w:val="24"/>
        </w:rPr>
      </w:pPr>
    </w:p>
    <w:p>
      <w:pPr>
        <w:pStyle w:val="style0"/>
        <w:spacing w:lineRule="auto" w:line="360"/>
        <w:jc w:val="both"/>
        <w:rPr>
          <w:rFonts w:ascii="Tahoma" w:cs="Tahoma" w:hAnsi="Tahoma"/>
          <w:bCs/>
          <w:iCs/>
          <w:sz w:val="24"/>
          <w:szCs w:val="24"/>
        </w:rPr>
      </w:pPr>
      <w:r>
        <w:rPr>
          <w:noProof/>
        </w:rPr>
        <w:drawing>
          <wp:inline distL="0" distT="0" distB="0" distR="0">
            <wp:extent cx="5880735" cy="7267074"/>
            <wp:effectExtent l="0" t="0" r="5715" b="0"/>
            <wp:docPr id="1037"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14"/>
                    <pic:cNvPicPr/>
                  </pic:nvPicPr>
                  <pic:blipFill>
                    <a:blip r:embed="rId13" cstate="print"/>
                    <a:srcRect l="0" t="0" r="0" b="16406"/>
                    <a:stretch/>
                  </pic:blipFill>
                  <pic:spPr>
                    <a:xfrm rot="0">
                      <a:off x="0" y="0"/>
                      <a:ext cx="5880735" cy="7267074"/>
                    </a:xfrm>
                    <a:prstGeom prst="rect"/>
                    <a:ln>
                      <a:noFill/>
                    </a:ln>
                  </pic:spPr>
                </pic:pic>
              </a:graphicData>
            </a:graphic>
          </wp:inline>
        </w:drawing>
      </w:r>
    </w:p>
    <w:p>
      <w:pPr>
        <w:pStyle w:val="style0"/>
        <w:spacing w:after="0" w:lineRule="auto" w:line="360"/>
        <w:jc w:val="both"/>
        <w:rPr>
          <w:rFonts w:ascii="Tahoma" w:cs="Tahoma" w:hAnsi="Tahoma"/>
          <w:b/>
          <w:bCs/>
          <w:sz w:val="24"/>
          <w:szCs w:val="24"/>
        </w:rPr>
      </w:pPr>
    </w:p>
    <w:p>
      <w:pPr>
        <w:pStyle w:val="style0"/>
        <w:spacing w:after="0" w:lineRule="auto" w:line="360"/>
        <w:jc w:val="both"/>
        <w:rPr>
          <w:rFonts w:ascii="Tahoma" w:cs="Tahoma" w:hAnsi="Tahoma"/>
          <w:b/>
          <w:bCs/>
          <w:sz w:val="24"/>
          <w:szCs w:val="24"/>
        </w:rPr>
      </w:pPr>
    </w:p>
    <w:p>
      <w:pPr>
        <w:pStyle w:val="style0"/>
        <w:spacing w:after="0" w:lineRule="auto" w:line="360"/>
        <w:jc w:val="both"/>
        <w:rPr>
          <w:rFonts w:ascii="Tahoma" w:cs="Tahoma" w:hAnsi="Tahoma"/>
          <w:b/>
          <w:bCs/>
          <w:sz w:val="24"/>
          <w:szCs w:val="24"/>
        </w:rPr>
      </w:pPr>
    </w:p>
    <w:p>
      <w:pPr>
        <w:pStyle w:val="style0"/>
        <w:spacing w:after="0" w:lineRule="auto" w:line="360"/>
        <w:jc w:val="both"/>
        <w:rPr>
          <w:rFonts w:ascii="Tahoma" w:cs="Tahoma" w:hAnsi="Tahoma"/>
          <w:b/>
          <w:bCs/>
          <w:sz w:val="24"/>
          <w:szCs w:val="24"/>
        </w:rPr>
      </w:pPr>
    </w:p>
    <w:p>
      <w:pPr>
        <w:pStyle w:val="style0"/>
        <w:spacing w:after="0" w:lineRule="auto" w:line="360"/>
        <w:jc w:val="both"/>
        <w:rPr>
          <w:rFonts w:ascii="Tahoma" w:cs="Tahoma" w:hAnsi="Tahoma"/>
          <w:b/>
          <w:bCs/>
          <w:sz w:val="24"/>
          <w:szCs w:val="24"/>
        </w:rPr>
      </w:pPr>
      <w:r>
        <w:rPr>
          <w:rFonts w:ascii="Tahoma" w:cs="Tahoma" w:hAnsi="Tahoma"/>
          <w:b/>
          <w:bCs/>
          <w:sz w:val="24"/>
          <w:szCs w:val="24"/>
        </w:rPr>
        <w:t>Conclusion</w:t>
      </w:r>
    </w:p>
    <w:p>
      <w:pPr>
        <w:pStyle w:val="style0"/>
        <w:spacing w:lineRule="auto" w:line="360"/>
        <w:jc w:val="both"/>
        <w:rPr>
          <w:rFonts w:ascii="Tahoma" w:cs="Tahoma" w:hAnsi="Tahoma"/>
          <w:sz w:val="24"/>
          <w:szCs w:val="24"/>
        </w:rPr>
      </w:pPr>
      <w:r>
        <w:rPr>
          <w:rFonts w:ascii="Tahoma" w:cs="Tahoma" w:hAnsi="Tahoma"/>
          <w:b/>
          <w:bCs/>
          <w:sz w:val="24"/>
          <w:szCs w:val="24"/>
        </w:rPr>
        <w:t>The outcome of the 202</w:t>
      </w:r>
      <w:r>
        <w:rPr>
          <w:rFonts w:ascii="Tahoma" w:cs="Tahoma" w:hAnsi="Tahoma"/>
          <w:b/>
          <w:bCs/>
          <w:sz w:val="24"/>
          <w:szCs w:val="24"/>
        </w:rPr>
        <w:t>2</w:t>
      </w:r>
      <w:r>
        <w:rPr>
          <w:rFonts w:ascii="Tahoma" w:cs="Tahoma" w:hAnsi="Tahoma"/>
          <w:b/>
          <w:bCs/>
          <w:sz w:val="24"/>
          <w:szCs w:val="24"/>
        </w:rPr>
        <w:t xml:space="preserve"> DSA revealed that </w:t>
      </w:r>
      <w:r>
        <w:rPr>
          <w:rFonts w:ascii="Tahoma" w:cs="Tahoma" w:hAnsi="Tahoma"/>
          <w:b/>
          <w:bCs/>
          <w:sz w:val="24"/>
          <w:szCs w:val="24"/>
        </w:rPr>
        <w:t>Kano</w:t>
      </w:r>
      <w:r>
        <w:rPr>
          <w:rFonts w:ascii="Tahoma" w:cs="Tahoma" w:hAnsi="Tahoma"/>
          <w:b/>
          <w:bCs/>
          <w:sz w:val="24"/>
          <w:szCs w:val="24"/>
        </w:rPr>
        <w:t xml:space="preserve">’s Total Debt remains at a </w:t>
      </w:r>
      <w:r>
        <w:rPr>
          <w:rFonts w:ascii="Tahoma" w:cs="Tahoma" w:hAnsi="Tahoma"/>
          <w:b/>
          <w:bCs/>
          <w:sz w:val="24"/>
          <w:szCs w:val="24"/>
        </w:rPr>
        <w:t xml:space="preserve">Moderate </w:t>
      </w:r>
      <w:r>
        <w:rPr>
          <w:rFonts w:ascii="Tahoma" w:cs="Tahoma" w:hAnsi="Tahoma"/>
          <w:b/>
          <w:bCs/>
          <w:sz w:val="24"/>
          <w:szCs w:val="24"/>
        </w:rPr>
        <w:t xml:space="preserve">Risk of Debt distress with substantial space to accommodate </w:t>
      </w:r>
      <w:r>
        <w:rPr>
          <w:rFonts w:ascii="Tahoma" w:cs="Tahoma" w:hAnsi="Tahoma"/>
          <w:b/>
          <w:bCs/>
          <w:sz w:val="24"/>
          <w:szCs w:val="24"/>
        </w:rPr>
        <w:t>shocks</w:t>
      </w:r>
      <w:r>
        <w:rPr>
          <w:rFonts w:ascii="Tahoma" w:cs="Tahoma" w:hAnsi="Tahoma"/>
          <w:sz w:val="24"/>
          <w:szCs w:val="24"/>
        </w:rPr>
        <w:t xml:space="preserve">. </w:t>
      </w:r>
      <w:r>
        <w:rPr>
          <w:rFonts w:ascii="Tahoma" w:cs="Tahoma" w:hAnsi="Tahoma"/>
          <w:sz w:val="24"/>
          <w:szCs w:val="24"/>
        </w:rPr>
        <w:t>Kano</w:t>
      </w:r>
      <w:r>
        <w:rPr>
          <w:rFonts w:ascii="Tahoma" w:cs="Tahoma" w:hAnsi="Tahoma"/>
          <w:sz w:val="24"/>
          <w:szCs w:val="24"/>
        </w:rPr>
        <w:t xml:space="preserve"> State Risk Rating remains at a Moderate Risk of debt distress with capacity to accommodate </w:t>
      </w:r>
      <w:r>
        <w:rPr>
          <w:rFonts w:ascii="Tahoma" w:cs="Tahoma" w:hAnsi="Tahoma"/>
          <w:sz w:val="24"/>
          <w:szCs w:val="24"/>
        </w:rPr>
        <w:t>shocks</w:t>
      </w:r>
      <w:r>
        <w:rPr>
          <w:rFonts w:ascii="Tahoma" w:cs="Tahoma" w:hAnsi="Tahoma"/>
          <w:sz w:val="24"/>
          <w:szCs w:val="24"/>
        </w:rPr>
        <w:t xml:space="preserve"> in Revenue, Expenditure, Exchange rate and Interest Rate. The ongoing efforts by the government towards improving revenue generation and diversifying the economy, through various initiatives and reforms in Tax Administration and Collections, as well as the </w:t>
      </w:r>
      <w:r>
        <w:rPr>
          <w:rFonts w:ascii="Tahoma" w:cs="Tahoma" w:hAnsi="Tahoma"/>
          <w:sz w:val="24"/>
          <w:szCs w:val="24"/>
        </w:rPr>
        <w:t>Public Financial Management</w:t>
      </w:r>
      <w:r>
        <w:rPr>
          <w:rFonts w:ascii="Tahoma" w:cs="Tahoma" w:hAnsi="Tahoma"/>
          <w:sz w:val="24"/>
          <w:szCs w:val="24"/>
        </w:rPr>
        <w:t>, would improve the outlook for Total Debt with enhanced revenue performance. Thus, the Revenue indicators and Borrowing Space are expected to improve in the medium to long-term.</w:t>
      </w:r>
    </w:p>
    <w:p>
      <w:pPr>
        <w:pStyle w:val="style179"/>
        <w:numPr>
          <w:ilvl w:val="2"/>
          <w:numId w:val="2"/>
        </w:numPr>
        <w:spacing w:after="0" w:lineRule="auto" w:line="360"/>
        <w:rPr>
          <w:rFonts w:ascii="Tahoma" w:cs="Tahoma" w:hAnsi="Tahoma"/>
          <w:b/>
          <w:iCs/>
          <w:sz w:val="24"/>
          <w:szCs w:val="24"/>
        </w:rPr>
      </w:pPr>
      <w:r>
        <w:rPr>
          <w:rFonts w:ascii="Tahoma" w:cs="Tahoma" w:hAnsi="Tahoma"/>
          <w:b/>
          <w:iCs/>
          <w:sz w:val="24"/>
          <w:szCs w:val="24"/>
        </w:rPr>
        <w:t>DSA Sensitivity Analysis</w:t>
      </w:r>
    </w:p>
    <w:p>
      <w:pPr>
        <w:pStyle w:val="style0"/>
        <w:spacing w:after="0" w:lineRule="auto" w:line="360"/>
        <w:jc w:val="both"/>
        <w:rPr>
          <w:rFonts w:ascii="Tahoma" w:cs="Tahoma" w:hAnsi="Tahoma"/>
          <w:bCs/>
          <w:iCs/>
          <w:sz w:val="24"/>
          <w:szCs w:val="24"/>
        </w:rPr>
      </w:pPr>
      <w:r>
        <w:rPr>
          <w:rFonts w:ascii="Tahoma" w:cs="Tahoma" w:hAnsi="Tahoma"/>
          <w:bCs/>
          <w:iCs/>
          <w:sz w:val="24"/>
          <w:szCs w:val="24"/>
        </w:rPr>
        <w:t>Kano</w:t>
      </w:r>
      <w:r>
        <w:rPr>
          <w:rFonts w:ascii="Tahoma" w:cs="Tahoma" w:hAnsi="Tahoma"/>
          <w:bCs/>
          <w:iCs/>
          <w:sz w:val="24"/>
          <w:szCs w:val="24"/>
        </w:rPr>
        <w:t xml:space="preserve"> State, 202</w:t>
      </w:r>
      <w:r>
        <w:rPr>
          <w:rFonts w:ascii="Tahoma" w:cs="Tahoma" w:hAnsi="Tahoma"/>
          <w:bCs/>
          <w:iCs/>
          <w:sz w:val="24"/>
          <w:szCs w:val="24"/>
        </w:rPr>
        <w:t>2</w:t>
      </w:r>
      <w:r>
        <w:rPr>
          <w:rFonts w:ascii="Tahoma" w:cs="Tahoma" w:hAnsi="Tahoma"/>
          <w:bCs/>
          <w:iCs/>
          <w:sz w:val="24"/>
          <w:szCs w:val="24"/>
        </w:rPr>
        <w:t xml:space="preserve"> DSA analysis remains at moderate risk of debt distress under sensitivity analysis. The State DSA </w:t>
      </w:r>
      <w:r>
        <w:rPr>
          <w:rFonts w:ascii="Tahoma" w:cs="Tahoma" w:hAnsi="Tahoma"/>
          <w:bCs/>
          <w:iCs/>
          <w:sz w:val="24"/>
          <w:szCs w:val="24"/>
        </w:rPr>
        <w:t>under pessimistic scenario shows</w:t>
      </w:r>
      <w:r>
        <w:rPr>
          <w:rFonts w:ascii="Tahoma" w:cs="Tahoma" w:hAnsi="Tahoma"/>
          <w:bCs/>
          <w:iCs/>
          <w:sz w:val="24"/>
          <w:szCs w:val="24"/>
        </w:rPr>
        <w:t xml:space="preserve"> deteriorate</w:t>
      </w:r>
      <w:r>
        <w:rPr>
          <w:rFonts w:ascii="Tahoma" w:cs="Tahoma" w:hAnsi="Tahoma"/>
          <w:bCs/>
          <w:iCs/>
          <w:sz w:val="24"/>
          <w:szCs w:val="24"/>
        </w:rPr>
        <w:t>d or weakening ratios due to application of revenu</w:t>
      </w:r>
      <w:r>
        <w:rPr>
          <w:rFonts w:ascii="Tahoma" w:cs="Tahoma" w:hAnsi="Tahoma"/>
          <w:bCs/>
          <w:iCs/>
          <w:sz w:val="24"/>
          <w:szCs w:val="24"/>
        </w:rPr>
        <w:t>e shocks, expenditure shocks, exchange rate shocks, interest rate shocks and historical shock, that would lead to increase Gross Financing Needs over the projection period. The shocks appl</w:t>
      </w:r>
      <w:r>
        <w:rPr>
          <w:rFonts w:ascii="Tahoma" w:cs="Tahoma" w:hAnsi="Tahoma"/>
          <w:bCs/>
          <w:iCs/>
          <w:sz w:val="24"/>
          <w:szCs w:val="24"/>
        </w:rPr>
        <w:t>ied</w:t>
      </w:r>
      <w:r>
        <w:rPr>
          <w:rFonts w:ascii="Tahoma" w:cs="Tahoma" w:hAnsi="Tahoma"/>
          <w:bCs/>
          <w:iCs/>
          <w:sz w:val="24"/>
          <w:szCs w:val="24"/>
        </w:rPr>
        <w:t xml:space="preserve"> breached the threshold under debt service as percent of Revenue breached the benchmarks from 202</w:t>
      </w:r>
      <w:r>
        <w:rPr>
          <w:rFonts w:ascii="Tahoma" w:cs="Tahoma" w:hAnsi="Tahoma"/>
          <w:bCs/>
          <w:iCs/>
          <w:sz w:val="24"/>
          <w:szCs w:val="24"/>
        </w:rPr>
        <w:t>8</w:t>
      </w:r>
      <w:r>
        <w:rPr>
          <w:rFonts w:ascii="Tahoma" w:cs="Tahoma" w:hAnsi="Tahoma"/>
          <w:bCs/>
          <w:iCs/>
          <w:sz w:val="24"/>
          <w:szCs w:val="24"/>
        </w:rPr>
        <w:t xml:space="preserve"> to 203</w:t>
      </w:r>
      <w:r>
        <w:rPr>
          <w:rFonts w:ascii="Tahoma" w:cs="Tahoma" w:hAnsi="Tahoma"/>
          <w:bCs/>
          <w:iCs/>
          <w:sz w:val="24"/>
          <w:szCs w:val="24"/>
        </w:rPr>
        <w:t>1</w:t>
      </w:r>
      <w:r>
        <w:rPr>
          <w:rFonts w:ascii="Tahoma" w:cs="Tahoma" w:hAnsi="Tahoma"/>
          <w:bCs/>
          <w:iCs/>
          <w:sz w:val="24"/>
          <w:szCs w:val="24"/>
        </w:rPr>
        <w:t xml:space="preserve"> through revenue and expenditure Shocks. There is</w:t>
      </w:r>
      <w:r>
        <w:rPr>
          <w:rFonts w:ascii="Tahoma" w:cs="Tahoma" w:hAnsi="Tahoma"/>
          <w:bCs/>
          <w:iCs/>
          <w:sz w:val="24"/>
          <w:szCs w:val="24"/>
        </w:rPr>
        <w:t xml:space="preserve"> </w:t>
      </w:r>
      <w:r>
        <w:rPr>
          <w:rFonts w:ascii="Tahoma" w:cs="Tahoma" w:hAnsi="Tahoma"/>
          <w:bCs/>
          <w:iCs/>
          <w:sz w:val="24"/>
          <w:szCs w:val="24"/>
        </w:rPr>
        <w:t>an urgent need for the authorities to fast-track efforts aimed at further diversifying the sources of revenue away from crude oil (FAAC), as well as implement far-reaching policies that will bolster IGR into the state. This has become critical, given the continued volatility in the FAAC allocation.</w:t>
      </w:r>
    </w:p>
    <w:p>
      <w:pPr>
        <w:pStyle w:val="style0"/>
        <w:spacing w:lineRule="auto" w:line="360"/>
        <w:jc w:val="both"/>
        <w:rPr>
          <w:rFonts w:ascii="Tahoma" w:cs="Tahoma" w:hAnsi="Tahoma"/>
        </w:rPr>
      </w:pPr>
      <w:r>
        <w:rPr>
          <w:rFonts w:ascii="Tahoma" w:cs="Tahoma" w:hAnsi="Tahoma"/>
        </w:rPr>
        <w:t>S</w:t>
      </w:r>
      <w:r>
        <w:rPr>
          <w:rFonts w:ascii="Tahoma" w:cs="Tahoma" w:hAnsi="Tahoma"/>
        </w:rPr>
        <w:t>trict adherence to prudent debt management as well as fiscal discipline</w:t>
      </w:r>
      <w:r>
        <w:rPr>
          <w:rFonts w:ascii="Tahoma" w:cs="Tahoma" w:hAnsi="Tahoma"/>
        </w:rPr>
        <w:t xml:space="preserve"> contributed towards the debt </w:t>
      </w:r>
      <w:r>
        <w:rPr>
          <w:rFonts w:ascii="Tahoma" w:cs="Tahoma" w:hAnsi="Tahoma"/>
        </w:rPr>
        <w:t>sustainability</w:t>
      </w:r>
      <w:r>
        <w:rPr>
          <w:rFonts w:ascii="Tahoma" w:cs="Tahoma" w:hAnsi="Tahoma"/>
        </w:rPr>
        <w:t>.  With the provisions of law guiding domestic and international borrowing by Fiscal Responsibility Act, and Debt Management, the Government is positioned for prudent debt management and fiscal discipline in order to be able t</w:t>
      </w:r>
      <w:r>
        <w:rPr>
          <w:rFonts w:ascii="Tahoma" w:cs="Tahoma" w:hAnsi="Tahoma"/>
        </w:rPr>
        <w:t>o honor its future financial obligations</w:t>
      </w:r>
      <w:r>
        <w:rPr>
          <w:rFonts w:ascii="Tahoma" w:cs="Tahoma" w:hAnsi="Tahoma"/>
        </w:rPr>
        <w:t xml:space="preserve"> without recourse to any financing options</w:t>
      </w:r>
      <w:r>
        <w:rPr>
          <w:rFonts w:ascii="Tahoma" w:cs="Tahoma" w:hAnsi="Tahoma"/>
        </w:rPr>
        <w:t>.</w:t>
      </w:r>
    </w:p>
    <w:p>
      <w:pPr>
        <w:pStyle w:val="style0"/>
        <w:spacing w:after="0" w:lineRule="auto" w:line="360"/>
        <w:jc w:val="both"/>
        <w:rPr>
          <w:rFonts w:ascii="Segoe UI" w:cs="Segoe UI" w:hAnsi="Segoe UI"/>
          <w:bCs/>
          <w:iCs/>
        </w:rPr>
      </w:pPr>
      <w:r>
        <w:rPr>
          <w:rFonts w:ascii="Segoe UI" w:cs="Segoe UI" w:hAnsi="Segoe UI"/>
          <w:bCs/>
          <w:iCs/>
        </w:rPr>
        <w:t xml:space="preserve">In line with the projections, the Kano State 2022 DSA remains sustainable due to strict adherence to prudent debt management as well as fiscal discipline.  With the provisions of law guiding domestic and international borrowing by Fiscal Responsibility Act, and Debt Management, the Government is positioned for prudent debt management and fiscal discipline in order to be able </w:t>
      </w:r>
      <w:r>
        <w:rPr>
          <w:rFonts w:ascii="Segoe UI" w:cs="Segoe UI" w:hAnsi="Segoe UI"/>
          <w:bCs/>
          <w:iCs/>
        </w:rPr>
        <w:t>t</w:t>
      </w:r>
      <w:r>
        <w:rPr>
          <w:rFonts w:ascii="Tahoma" w:cs="Tahoma" w:hAnsi="Tahoma"/>
        </w:rPr>
        <w:t>o honor its future financial obligations.</w:t>
      </w:r>
      <w:r>
        <w:rPr>
          <w:rFonts w:ascii="Tahoma" w:cs="Tahoma" w:hAnsi="Tahoma"/>
        </w:rPr>
        <w:t xml:space="preserve"> Fiscal policies guiding Cash Management and IGR is expected to consolidate on the gains of the State achievements.</w:t>
      </w:r>
    </w:p>
    <w:p>
      <w:pPr>
        <w:pStyle w:val="style0"/>
        <w:spacing w:after="0" w:lineRule="auto" w:line="360"/>
        <w:jc w:val="both"/>
        <w:rPr>
          <w:rFonts w:ascii="Tahoma" w:cs="Tahoma" w:hAnsi="Tahoma"/>
          <w:bCs/>
          <w:sz w:val="10"/>
          <w:szCs w:val="10"/>
        </w:rPr>
      </w:pPr>
    </w:p>
    <w:p>
      <w:pPr>
        <w:pStyle w:val="style0"/>
        <w:spacing w:after="0" w:lineRule="auto" w:line="360"/>
        <w:jc w:val="both"/>
        <w:rPr>
          <w:rFonts w:ascii="Tahoma" w:cs="Tahoma" w:hAnsi="Tahoma"/>
          <w:bCs/>
          <w:iCs/>
          <w:sz w:val="24"/>
          <w:szCs w:val="24"/>
        </w:rPr>
      </w:pPr>
      <w:r>
        <w:rPr>
          <w:rFonts w:ascii="Tahoma" w:cs="Tahoma" w:hAnsi="Tahoma"/>
          <w:bCs/>
        </w:rPr>
        <w:t xml:space="preserve">With the MTB and FSP, the fiscal policy both on revenue expansion an expenditure control </w:t>
      </w:r>
      <w:r>
        <w:rPr>
          <w:rFonts w:ascii="Tahoma" w:cs="Tahoma" w:hAnsi="Tahoma"/>
          <w:bCs/>
        </w:rPr>
        <w:t>is</w:t>
      </w:r>
      <w:r>
        <w:rPr>
          <w:rFonts w:ascii="Tahoma" w:cs="Tahoma" w:hAnsi="Tahoma"/>
          <w:bCs/>
        </w:rPr>
        <w:t xml:space="preserve"> targeted towards mobilization of fund for the budget as well as investments in the State. </w:t>
      </w:r>
      <w:r>
        <w:rPr>
          <w:rFonts w:ascii="Tahoma" w:cs="Tahoma" w:hAnsi="Tahoma"/>
          <w:sz w:val="24"/>
          <w:szCs w:val="24"/>
        </w:rPr>
        <w:t>The</w:t>
      </w:r>
      <w:r>
        <w:rPr>
          <w:rFonts w:ascii="Segoe UI" w:cs="Segoe UI" w:hAnsi="Segoe UI"/>
        </w:rPr>
        <w:t xml:space="preserve"> Government has reviewed its fiscal policies in the areas of Cash management, IGR, etc. These fiscal components are targeted towards boosting of revenue generation for Government financial obligation as well as investment, this is achievable through </w:t>
      </w:r>
      <w:r>
        <w:rPr>
          <w:rFonts w:ascii="Segoe UI" w:cs="Segoe UI" w:hAnsi="Segoe UI"/>
        </w:rPr>
        <w:t>proper linkage between policy, planning and budgetin</w:t>
      </w:r>
      <w:r>
        <w:rPr>
          <w:rFonts w:ascii="Segoe UI" w:cs="Segoe UI" w:hAnsi="Segoe UI"/>
        </w:rPr>
        <w:t>g, as well as e</w:t>
      </w:r>
      <w:r>
        <w:rPr>
          <w:rFonts w:ascii="Tahoma" w:cs="Tahoma" w:hAnsi="Tahoma"/>
          <w:sz w:val="24"/>
          <w:szCs w:val="24"/>
        </w:rPr>
        <w:t>nsuring budget execution through more predictable cash releases</w:t>
      </w:r>
      <w:r>
        <w:rPr>
          <w:rFonts w:ascii="Tahoma" w:cs="Tahoma" w:hAnsi="Tahoma"/>
          <w:sz w:val="24"/>
          <w:szCs w:val="24"/>
        </w:rPr>
        <w:t xml:space="preserve"> to the affected projects.</w:t>
      </w:r>
    </w:p>
    <w:p>
      <w:pPr>
        <w:pStyle w:val="style0"/>
        <w:spacing w:lineRule="auto" w:line="360"/>
        <w:jc w:val="both"/>
        <w:rPr>
          <w:rFonts w:ascii="Tahoma" w:cs="Tahoma" w:hAnsi="Tahoma"/>
        </w:rPr>
      </w:pPr>
      <w:r>
        <w:rPr>
          <w:rFonts w:ascii="Tahoma" w:cs="Tahoma" w:hAnsi="Tahoma"/>
        </w:rPr>
        <w:t>T</w:t>
      </w:r>
      <w:r>
        <w:rPr>
          <w:rFonts w:ascii="Tahoma" w:cs="Tahoma" w:hAnsi="Tahoma"/>
        </w:rPr>
        <w:t xml:space="preserve">he </w:t>
      </w:r>
      <w:r>
        <w:rPr>
          <w:rFonts w:ascii="Tahoma" w:cs="Tahoma" w:hAnsi="Tahoma"/>
        </w:rPr>
        <w:t>G</w:t>
      </w:r>
      <w:r>
        <w:rPr>
          <w:rFonts w:ascii="Tahoma" w:cs="Tahoma" w:hAnsi="Tahoma"/>
        </w:rPr>
        <w:t>overnment is ready to apply fiscal policies necessary to achieve</w:t>
      </w:r>
      <w:r>
        <w:rPr>
          <w:rFonts w:ascii="Tahoma" w:cs="Tahoma" w:hAnsi="Tahoma"/>
        </w:rPr>
        <w:t xml:space="preserve"> desired</w:t>
      </w:r>
      <w:r>
        <w:rPr>
          <w:rFonts w:ascii="Tahoma" w:cs="Tahoma" w:hAnsi="Tahoma"/>
        </w:rPr>
        <w:t xml:space="preserve"> revenue generation, </w:t>
      </w:r>
      <w:r>
        <w:rPr>
          <w:rFonts w:ascii="Tahoma" w:cs="Tahoma" w:hAnsi="Tahoma"/>
        </w:rPr>
        <w:t xml:space="preserve">budget </w:t>
      </w:r>
      <w:r>
        <w:rPr>
          <w:rFonts w:ascii="Tahoma" w:cs="Tahoma" w:hAnsi="Tahoma"/>
        </w:rPr>
        <w:t>planning, as well as expenditure control</w:t>
      </w:r>
      <w:r>
        <w:rPr>
          <w:rFonts w:ascii="Tahoma" w:cs="Tahoma" w:hAnsi="Tahoma"/>
        </w:rPr>
        <w:t xml:space="preserve">, bearing in mind investment that will </w:t>
      </w:r>
      <w:r>
        <w:rPr>
          <w:rFonts w:ascii="Tahoma" w:cs="Tahoma" w:hAnsi="Tahoma"/>
        </w:rPr>
        <w:t>compliment</w:t>
      </w:r>
      <w:r>
        <w:rPr>
          <w:rFonts w:ascii="Tahoma" w:cs="Tahoma" w:hAnsi="Tahoma"/>
        </w:rPr>
        <w:t xml:space="preserve"> the efforts of the State’s revenue generation</w:t>
      </w:r>
      <w:r>
        <w:rPr>
          <w:rFonts w:ascii="Tahoma" w:cs="Tahoma" w:hAnsi="Tahoma"/>
        </w:rPr>
        <w:t>.</w:t>
      </w:r>
    </w:p>
    <w:p>
      <w:pPr>
        <w:pStyle w:val="style0"/>
        <w:spacing w:lineRule="auto" w:line="360"/>
        <w:jc w:val="both"/>
        <w:rPr>
          <w:rFonts w:ascii="Tahoma" w:cs="Tahoma" w:hAnsi="Tahoma"/>
        </w:rPr>
      </w:pPr>
    </w:p>
    <w:p>
      <w:pPr>
        <w:pStyle w:val="style0"/>
        <w:spacing w:after="0" w:lineRule="auto" w:line="360"/>
        <w:jc w:val="both"/>
        <w:rPr>
          <w:rFonts w:ascii="Tahoma" w:cs="Tahoma" w:hAnsi="Tahoma"/>
          <w:bCs/>
          <w:iCs/>
          <w:sz w:val="24"/>
          <w:szCs w:val="24"/>
        </w:rPr>
      </w:pPr>
    </w:p>
    <w:p>
      <w:pPr>
        <w:pStyle w:val="style0"/>
        <w:spacing w:after="0" w:lineRule="auto" w:line="360"/>
        <w:jc w:val="both"/>
        <w:rPr>
          <w:rFonts w:ascii="Tahoma" w:cs="Tahoma" w:hAnsi="Tahoma"/>
          <w:bCs/>
          <w:iCs/>
          <w:sz w:val="24"/>
          <w:szCs w:val="24"/>
        </w:rPr>
      </w:pPr>
      <w:r>
        <w:rPr>
          <w:noProof/>
        </w:rPr>
        <w:drawing>
          <wp:inline distL="0" distT="0" distB="0" distR="0">
            <wp:extent cx="5943224" cy="7713785"/>
            <wp:effectExtent l="0" t="0" r="635" b="1905"/>
            <wp:docPr id="1038"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Picture 16"/>
                    <pic:cNvPicPr/>
                  </pic:nvPicPr>
                  <pic:blipFill>
                    <a:blip r:embed="rId14" cstate="print"/>
                    <a:srcRect l="0" t="0" r="0" b="0"/>
                    <a:stretch/>
                  </pic:blipFill>
                  <pic:spPr>
                    <a:xfrm rot="0">
                      <a:off x="0" y="0"/>
                      <a:ext cx="5943224" cy="7713785"/>
                    </a:xfrm>
                    <a:prstGeom prst="rect"/>
                    <a:ln>
                      <a:noFill/>
                    </a:ln>
                  </pic:spPr>
                </pic:pic>
              </a:graphicData>
            </a:graphic>
          </wp:inline>
        </w:drawing>
      </w:r>
    </w:p>
    <w:p>
      <w:pPr>
        <w:pStyle w:val="style0"/>
        <w:spacing w:lineRule="auto" w:line="360"/>
        <w:rPr>
          <w:rFonts w:ascii="Tahoma" w:cs="Tahoma" w:hAnsi="Tahoma"/>
          <w:b/>
          <w:sz w:val="24"/>
          <w:szCs w:val="24"/>
        </w:rPr>
      </w:pPr>
    </w:p>
    <w:p>
      <w:pPr>
        <w:pStyle w:val="style0"/>
        <w:spacing w:lineRule="auto" w:line="360"/>
        <w:rPr>
          <w:rFonts w:ascii="Tahoma" w:cs="Tahoma" w:hAnsi="Tahoma"/>
          <w:b/>
          <w:sz w:val="24"/>
          <w:szCs w:val="24"/>
        </w:rPr>
      </w:pPr>
    </w:p>
    <w:bookmarkStart w:id="4" w:name="_Toc116071687"/>
    <w:p>
      <w:pPr>
        <w:pStyle w:val="style1"/>
        <w:spacing w:before="0" w:lineRule="auto" w:line="360"/>
        <w:rPr>
          <w:rFonts w:ascii="Tahoma" w:cs="Tahoma" w:hAnsi="Tahoma"/>
          <w:b/>
          <w:bCs/>
          <w:color w:val="0070c0"/>
          <w:sz w:val="24"/>
          <w:szCs w:val="24"/>
        </w:rPr>
      </w:pPr>
      <w:r>
        <w:rPr>
          <w:rFonts w:ascii="Tahoma" w:cs="Tahoma" w:hAnsi="Tahoma"/>
          <w:b/>
          <w:bCs/>
          <w:color w:val="0070c0"/>
          <w:sz w:val="24"/>
          <w:szCs w:val="24"/>
        </w:rPr>
        <w:t>Chapter 5: Debt Management Strategy</w:t>
      </w:r>
      <w:bookmarkEnd w:id="4"/>
    </w:p>
    <w:p>
      <w:pPr>
        <w:pStyle w:val="style0"/>
        <w:spacing w:lineRule="auto" w:line="360"/>
        <w:jc w:val="both"/>
        <w:rPr>
          <w:rFonts w:ascii="Tahoma" w:cs="Tahoma" w:hAnsi="Tahoma"/>
          <w:sz w:val="24"/>
          <w:szCs w:val="24"/>
        </w:rPr>
      </w:pPr>
      <w:r>
        <w:rPr>
          <w:rFonts w:ascii="Tahoma" w:cs="Tahoma" w:hAnsi="Tahoma"/>
          <w:sz w:val="24"/>
          <w:szCs w:val="24"/>
        </w:rPr>
        <w:t xml:space="preserve">Public debt management is the process of establishing and executing a strategy for managing the government’s debt in order to raise the required amount of funding at the lowest possible cost over the medium to long run, consistent with a prudent degree of risk. </w:t>
      </w:r>
      <w:r>
        <w:rPr>
          <w:rFonts w:ascii="Tahoma" w:cs="Tahoma" w:hAnsi="Tahoma"/>
          <w:sz w:val="24"/>
          <w:szCs w:val="24"/>
        </w:rPr>
        <w:t>Debt Management Strategy examines the costs and risks inherent in the current debt portfolio, as well as in the debt portfolios that would arise from a range of possible issuance strategies, in light of factors such as the macroeconomic and financial market environment, the availability of financing from different creditors and markets, and vulnerabilities that may have an impact on future borrowing requirements and debt service costs.</w:t>
      </w:r>
      <w:r>
        <w:rPr>
          <w:rFonts w:ascii="Tahoma" w:cs="Tahoma" w:hAnsi="Tahoma"/>
          <w:sz w:val="24"/>
          <w:szCs w:val="24"/>
        </w:rPr>
        <w:t xml:space="preserve"> </w:t>
      </w:r>
    </w:p>
    <w:p>
      <w:pPr>
        <w:pStyle w:val="style0"/>
        <w:spacing w:lineRule="auto" w:line="360"/>
        <w:jc w:val="both"/>
        <w:rPr>
          <w:rFonts w:ascii="Tahoma" w:cs="Tahoma" w:hAnsi="Tahoma"/>
          <w:sz w:val="24"/>
          <w:szCs w:val="24"/>
        </w:rPr>
      </w:pPr>
      <w:r>
        <w:rPr>
          <w:rFonts w:ascii="Tahoma" w:cs="Tahoma" w:hAnsi="Tahoma"/>
          <w:sz w:val="24"/>
          <w:szCs w:val="24"/>
        </w:rPr>
        <w:t>The Debt Management Strategy provides alternative strategies to meet the fi</w:t>
      </w:r>
      <w:r>
        <w:rPr>
          <w:rFonts w:ascii="Tahoma" w:cs="Tahoma" w:hAnsi="Tahoma"/>
          <w:sz w:val="24"/>
          <w:szCs w:val="24"/>
        </w:rPr>
        <w:t xml:space="preserve">nancing requirements for </w:t>
      </w:r>
      <w:r>
        <w:rPr>
          <w:rFonts w:ascii="Tahoma" w:cs="Tahoma" w:hAnsi="Tahoma"/>
          <w:sz w:val="24"/>
          <w:szCs w:val="24"/>
        </w:rPr>
        <w:t>Kano</w:t>
      </w:r>
      <w:r>
        <w:rPr>
          <w:rFonts w:ascii="Tahoma" w:cs="Tahoma" w:hAnsi="Tahoma"/>
          <w:sz w:val="24"/>
          <w:szCs w:val="24"/>
        </w:rPr>
        <w:t xml:space="preserve"> State</w:t>
      </w:r>
      <w:r>
        <w:rPr>
          <w:rFonts w:ascii="Tahoma" w:cs="Tahoma" w:hAnsi="Tahoma"/>
          <w:sz w:val="24"/>
          <w:szCs w:val="24"/>
        </w:rPr>
        <w:t xml:space="preserve"> The strategies are shown by the breakdown of funding mix (domestic debt and external debt) and within the broad categories of domestic and external, the share of each stylized instrument has also been illustrated. </w:t>
      </w:r>
      <w:r>
        <w:rPr>
          <w:rFonts w:ascii="Tahoma" w:cs="Tahoma" w:hAnsi="Tahoma"/>
          <w:sz w:val="24"/>
          <w:szCs w:val="24"/>
        </w:rPr>
        <w:t xml:space="preserve">The </w:t>
      </w:r>
      <w:r>
        <w:rPr>
          <w:rFonts w:ascii="Tahoma" w:cs="Tahoma" w:hAnsi="Tahoma"/>
          <w:sz w:val="24"/>
          <w:szCs w:val="24"/>
        </w:rPr>
        <w:t>Kano</w:t>
      </w:r>
      <w:r>
        <w:rPr>
          <w:rFonts w:ascii="Tahoma" w:cs="Tahoma" w:hAnsi="Tahoma"/>
          <w:sz w:val="24"/>
          <w:szCs w:val="24"/>
        </w:rPr>
        <w:t xml:space="preserve"> State</w:t>
      </w:r>
      <w:r>
        <w:rPr>
          <w:rFonts w:ascii="Tahoma" w:cs="Tahoma" w:hAnsi="Tahoma"/>
          <w:sz w:val="24"/>
          <w:szCs w:val="24"/>
        </w:rPr>
        <w:t>’s Debt Management Strategy, 202</w:t>
      </w:r>
      <w:r>
        <w:rPr>
          <w:rFonts w:ascii="Tahoma" w:cs="Tahoma" w:hAnsi="Tahoma"/>
          <w:sz w:val="24"/>
          <w:szCs w:val="24"/>
        </w:rPr>
        <w:t>2</w:t>
      </w:r>
      <w:r>
        <w:rPr>
          <w:rFonts w:ascii="Tahoma" w:cs="Tahoma" w:hAnsi="Tahoma"/>
          <w:sz w:val="24"/>
          <w:szCs w:val="24"/>
        </w:rPr>
        <w:t>-202</w:t>
      </w:r>
      <w:r>
        <w:rPr>
          <w:rFonts w:ascii="Tahoma" w:cs="Tahoma" w:hAnsi="Tahoma"/>
          <w:sz w:val="24"/>
          <w:szCs w:val="24"/>
        </w:rPr>
        <w:t>6</w:t>
      </w:r>
      <w:r>
        <w:rPr>
          <w:rFonts w:ascii="Tahoma" w:cs="Tahoma" w:hAnsi="Tahoma"/>
          <w:sz w:val="24"/>
          <w:szCs w:val="24"/>
        </w:rPr>
        <w:t xml:space="preserve">, </w:t>
      </w:r>
      <w:r>
        <w:rPr>
          <w:rFonts w:ascii="Tahoma" w:cs="Tahoma" w:hAnsi="Tahoma"/>
          <w:sz w:val="24"/>
          <w:szCs w:val="24"/>
        </w:rPr>
        <w:t xml:space="preserve">analyses the debt management strategies outcomes of the </w:t>
      </w:r>
      <w:r>
        <w:rPr>
          <w:rFonts w:ascii="Tahoma" w:cs="Tahoma" w:hAnsi="Tahoma"/>
          <w:sz w:val="24"/>
          <w:szCs w:val="24"/>
        </w:rPr>
        <w:t xml:space="preserve">three debt management performance indicators </w:t>
      </w:r>
      <w:r>
        <w:rPr>
          <w:rFonts w:ascii="Tahoma" w:cs="Tahoma" w:hAnsi="Tahoma"/>
          <w:sz w:val="24"/>
          <w:szCs w:val="24"/>
        </w:rPr>
        <w:t xml:space="preserve">namely </w:t>
      </w:r>
      <w:r>
        <w:rPr>
          <w:rFonts w:ascii="Tahoma" w:cs="Tahoma" w:hAnsi="Tahoma"/>
          <w:sz w:val="24"/>
          <w:szCs w:val="24"/>
        </w:rPr>
        <w:t>Debt Stock</w:t>
      </w:r>
      <w:r>
        <w:rPr>
          <w:rFonts w:ascii="Tahoma" w:cs="Tahoma" w:hAnsi="Tahoma"/>
          <w:sz w:val="24"/>
          <w:szCs w:val="24"/>
        </w:rPr>
        <w:t xml:space="preserve"> to </w:t>
      </w:r>
      <w:r>
        <w:rPr>
          <w:rFonts w:ascii="Tahoma" w:cs="Tahoma" w:hAnsi="Tahoma"/>
          <w:sz w:val="24"/>
          <w:szCs w:val="24"/>
        </w:rPr>
        <w:t>Revenue, Debt Services</w:t>
      </w:r>
      <w:r>
        <w:rPr>
          <w:rFonts w:ascii="Tahoma" w:cs="Tahoma" w:hAnsi="Tahoma"/>
          <w:sz w:val="24"/>
          <w:szCs w:val="24"/>
        </w:rPr>
        <w:t xml:space="preserve"> to </w:t>
      </w:r>
      <w:r>
        <w:rPr>
          <w:rFonts w:ascii="Tahoma" w:cs="Tahoma" w:hAnsi="Tahoma"/>
          <w:sz w:val="24"/>
          <w:szCs w:val="24"/>
        </w:rPr>
        <w:t>Revenue and Interest</w:t>
      </w:r>
      <w:r>
        <w:rPr>
          <w:rFonts w:ascii="Tahoma" w:cs="Tahoma" w:hAnsi="Tahoma"/>
          <w:sz w:val="24"/>
          <w:szCs w:val="24"/>
        </w:rPr>
        <w:t xml:space="preserve"> to </w:t>
      </w:r>
      <w:r>
        <w:rPr>
          <w:rFonts w:ascii="Tahoma" w:cs="Tahoma" w:hAnsi="Tahoma"/>
          <w:sz w:val="24"/>
          <w:szCs w:val="24"/>
        </w:rPr>
        <w:t>Revenue.</w:t>
      </w:r>
      <w:r>
        <w:rPr>
          <w:rFonts w:ascii="Tahoma" w:cs="Tahoma" w:hAnsi="Tahoma"/>
          <w:sz w:val="24"/>
          <w:szCs w:val="24"/>
        </w:rPr>
        <w:t xml:space="preserve"> </w:t>
      </w:r>
      <w:r>
        <w:rPr>
          <w:rFonts w:ascii="Tahoma" w:cs="Tahoma" w:hAnsi="Tahoma"/>
          <w:sz w:val="24"/>
          <w:szCs w:val="24"/>
        </w:rPr>
        <w:t>The cost is measured by the expected value of a performance indicator in 202</w:t>
      </w:r>
      <w:r>
        <w:rPr>
          <w:rFonts w:ascii="Tahoma" w:cs="Tahoma" w:hAnsi="Tahoma"/>
          <w:sz w:val="24"/>
          <w:szCs w:val="24"/>
        </w:rPr>
        <w:t>6</w:t>
      </w:r>
      <w:r>
        <w:rPr>
          <w:rFonts w:ascii="Tahoma" w:cs="Tahoma" w:hAnsi="Tahoma"/>
          <w:sz w:val="24"/>
          <w:szCs w:val="24"/>
        </w:rPr>
        <w:t xml:space="preserve">, </w:t>
      </w:r>
      <w:r>
        <w:rPr>
          <w:rFonts w:ascii="Tahoma" w:cs="Tahoma" w:hAnsi="Tahoma"/>
          <w:sz w:val="24"/>
          <w:szCs w:val="24"/>
        </w:rPr>
        <w:t>as projected in the baseline scenario. Risk is measured by the deviation from the expected value in 202</w:t>
      </w:r>
      <w:r>
        <w:rPr>
          <w:rFonts w:ascii="Tahoma" w:cs="Tahoma" w:hAnsi="Tahoma"/>
          <w:sz w:val="24"/>
          <w:szCs w:val="24"/>
        </w:rPr>
        <w:t>6</w:t>
      </w:r>
      <w:r>
        <w:rPr>
          <w:rFonts w:ascii="Tahoma" w:cs="Tahoma" w:hAnsi="Tahoma"/>
          <w:sz w:val="24"/>
          <w:szCs w:val="24"/>
        </w:rPr>
        <w:t xml:space="preserve"> caused by an un-expected shock</w:t>
      </w:r>
      <w:r>
        <w:rPr>
          <w:rFonts w:ascii="Tahoma" w:cs="Tahoma" w:hAnsi="Tahoma"/>
          <w:sz w:val="24"/>
          <w:szCs w:val="24"/>
        </w:rPr>
        <w:t xml:space="preserve">, </w:t>
      </w:r>
      <w:r>
        <w:rPr>
          <w:rFonts w:ascii="Tahoma" w:cs="Tahoma" w:hAnsi="Tahoma"/>
          <w:sz w:val="24"/>
          <w:szCs w:val="24"/>
        </w:rPr>
        <w:t>as projected in the most adverse scenario.</w:t>
      </w:r>
      <w:r>
        <w:rPr>
          <w:rFonts w:ascii="Tahoma" w:cs="Tahoma" w:hAnsi="Tahoma"/>
          <w:sz w:val="24"/>
          <w:szCs w:val="24"/>
        </w:rPr>
        <w:t xml:space="preserve"> </w:t>
      </w:r>
      <w:r>
        <w:rPr>
          <w:rFonts w:ascii="Tahoma" w:cs="Tahoma" w:hAnsi="Tahoma"/>
          <w:sz w:val="24"/>
          <w:szCs w:val="24"/>
        </w:rPr>
        <w:t>The f</w:t>
      </w:r>
      <w:r>
        <w:rPr>
          <w:rFonts w:ascii="Tahoma" w:cs="Tahoma" w:hAnsi="Tahoma"/>
          <w:sz w:val="24"/>
          <w:szCs w:val="24"/>
        </w:rPr>
        <w:t>ollowing four strategies are assessed by the government</w:t>
      </w:r>
      <w:r>
        <w:rPr>
          <w:rFonts w:ascii="Tahoma" w:cs="Tahoma" w:hAnsi="Tahoma"/>
          <w:sz w:val="24"/>
          <w:szCs w:val="24"/>
        </w:rPr>
        <w:t>.</w:t>
      </w:r>
    </w:p>
    <w:p>
      <w:pPr>
        <w:pStyle w:val="style0"/>
        <w:spacing w:after="0" w:lineRule="auto" w:line="360"/>
        <w:rPr>
          <w:rFonts w:ascii="Tahoma" w:cs="Tahoma" w:hAnsi="Tahoma"/>
          <w:b/>
          <w:bCs/>
          <w:color w:val="0070c0"/>
          <w:sz w:val="24"/>
          <w:szCs w:val="24"/>
        </w:rPr>
      </w:pPr>
      <w:r>
        <w:rPr>
          <w:rFonts w:ascii="Tahoma" w:cs="Tahoma" w:hAnsi="Tahoma"/>
          <w:b/>
          <w:bCs/>
          <w:color w:val="0070c0"/>
          <w:sz w:val="24"/>
          <w:szCs w:val="24"/>
        </w:rPr>
        <w:t>5.1 Alternative Borrowing Options</w:t>
      </w:r>
    </w:p>
    <w:p>
      <w:pPr>
        <w:pStyle w:val="style0"/>
        <w:spacing w:lineRule="auto" w:line="360"/>
        <w:jc w:val="both"/>
        <w:rPr>
          <w:rFonts w:ascii="Tahoma" w:cs="Tahoma" w:hAnsi="Tahoma"/>
          <w:b/>
          <w:bCs/>
          <w:sz w:val="24"/>
          <w:szCs w:val="24"/>
        </w:rPr>
      </w:pPr>
      <w:r>
        <w:rPr>
          <w:rFonts w:ascii="Tahoma" w:cs="Tahoma" w:hAnsi="Tahoma"/>
          <w:b/>
          <w:bCs/>
          <w:sz w:val="24"/>
          <w:szCs w:val="24"/>
        </w:rPr>
        <w:t>Strategy 1 (S1) R</w:t>
      </w:r>
      <w:r>
        <w:rPr>
          <w:rFonts w:ascii="Tahoma" w:cs="Tahoma" w:hAnsi="Tahoma"/>
          <w:b/>
          <w:bCs/>
          <w:sz w:val="24"/>
          <w:szCs w:val="24"/>
        </w:rPr>
        <w:t xml:space="preserve">eflects a “status quo” MTEF Financing Mix: </w:t>
      </w:r>
      <w:r>
        <w:rPr>
          <w:rFonts w:ascii="Tahoma" w:cs="Tahoma" w:hAnsi="Tahoma"/>
          <w:sz w:val="24"/>
          <w:szCs w:val="24"/>
        </w:rPr>
        <w:t>It follows the broad parameters of the financing mix in the fiscal year 202</w:t>
      </w:r>
      <w:r>
        <w:rPr>
          <w:rFonts w:ascii="Tahoma" w:cs="Tahoma" w:hAnsi="Tahoma"/>
          <w:sz w:val="24"/>
          <w:szCs w:val="24"/>
        </w:rPr>
        <w:t>2</w:t>
      </w:r>
      <w:r>
        <w:rPr>
          <w:rFonts w:ascii="Tahoma" w:cs="Tahoma" w:hAnsi="Tahoma"/>
          <w:sz w:val="24"/>
          <w:szCs w:val="24"/>
        </w:rPr>
        <w:t xml:space="preserve"> and </w:t>
      </w:r>
      <w:r>
        <w:rPr>
          <w:rFonts w:ascii="Tahoma" w:cs="Tahoma" w:hAnsi="Tahoma"/>
          <w:sz w:val="24"/>
          <w:szCs w:val="24"/>
        </w:rPr>
        <w:t xml:space="preserve">MTEF, </w:t>
      </w:r>
      <w:r>
        <w:rPr>
          <w:rFonts w:ascii="Tahoma" w:cs="Tahoma" w:hAnsi="Tahoma"/>
          <w:sz w:val="24"/>
          <w:szCs w:val="24"/>
        </w:rPr>
        <w:t>202</w:t>
      </w:r>
      <w:r>
        <w:rPr>
          <w:rFonts w:ascii="Tahoma" w:cs="Tahoma" w:hAnsi="Tahoma"/>
          <w:sz w:val="24"/>
          <w:szCs w:val="24"/>
        </w:rPr>
        <w:t>2</w:t>
      </w:r>
      <w:r>
        <w:rPr>
          <w:rFonts w:ascii="Tahoma" w:cs="Tahoma" w:hAnsi="Tahoma"/>
          <w:sz w:val="24"/>
          <w:szCs w:val="24"/>
        </w:rPr>
        <w:t>-202</w:t>
      </w:r>
      <w:r>
        <w:rPr>
          <w:rFonts w:ascii="Tahoma" w:cs="Tahoma" w:hAnsi="Tahoma"/>
          <w:sz w:val="24"/>
          <w:szCs w:val="24"/>
        </w:rPr>
        <w:t>4</w:t>
      </w:r>
      <w:r>
        <w:rPr>
          <w:rFonts w:ascii="Tahoma" w:cs="Tahoma" w:hAnsi="Tahoma"/>
          <w:sz w:val="24"/>
          <w:szCs w:val="24"/>
        </w:rPr>
        <w:t xml:space="preserve">. External gross borrowing under Concessional loans accounts on average </w:t>
      </w:r>
      <w:r>
        <w:rPr>
          <w:rFonts w:ascii="Tahoma" w:cs="Tahoma" w:hAnsi="Tahoma"/>
          <w:sz w:val="24"/>
          <w:szCs w:val="24"/>
        </w:rPr>
        <w:t>2</w:t>
      </w:r>
      <w:r>
        <w:rPr>
          <w:rFonts w:ascii="Tahoma" w:cs="Tahoma" w:hAnsi="Tahoma"/>
          <w:sz w:val="24"/>
          <w:szCs w:val="24"/>
        </w:rPr>
        <w:t xml:space="preserve">2.85 </w:t>
      </w:r>
      <w:r>
        <w:rPr>
          <w:rFonts w:ascii="Tahoma" w:cs="Tahoma" w:hAnsi="Tahoma"/>
          <w:sz w:val="24"/>
          <w:szCs w:val="24"/>
        </w:rPr>
        <w:t>percent over the strategic period mainly through World Bank and African Development Bank. The Domestic gross financing comprises commercial bank loans</w:t>
      </w:r>
      <w:r>
        <w:rPr>
          <w:rFonts w:ascii="Tahoma" w:cs="Tahoma" w:hAnsi="Tahoma"/>
          <w:sz w:val="24"/>
          <w:szCs w:val="24"/>
        </w:rPr>
        <w:t xml:space="preserve"> and </w:t>
      </w:r>
      <w:r>
        <w:rPr>
          <w:rFonts w:ascii="Tahoma" w:cs="Tahoma" w:hAnsi="Tahoma"/>
          <w:sz w:val="24"/>
          <w:szCs w:val="24"/>
        </w:rPr>
        <w:t>State bonds. The Commercial Bank loans with the maturity of 1-5 years is projected to account on average of 2</w:t>
      </w:r>
      <w:r>
        <w:rPr>
          <w:rFonts w:ascii="Tahoma" w:cs="Tahoma" w:hAnsi="Tahoma"/>
          <w:sz w:val="24"/>
          <w:szCs w:val="24"/>
        </w:rPr>
        <w:t xml:space="preserve">1.63 </w:t>
      </w:r>
      <w:r>
        <w:rPr>
          <w:rFonts w:ascii="Tahoma" w:cs="Tahoma" w:hAnsi="Tahoma"/>
          <w:sz w:val="24"/>
          <w:szCs w:val="24"/>
        </w:rPr>
        <w:t xml:space="preserve">percent over the strategic period. The Commercial Bank loans with the maturity of above 6 years </w:t>
      </w:r>
      <w:r>
        <w:rPr>
          <w:rFonts w:ascii="Tahoma" w:cs="Tahoma" w:hAnsi="Tahoma"/>
          <w:sz w:val="24"/>
          <w:szCs w:val="24"/>
        </w:rPr>
        <w:t xml:space="preserve">and </w:t>
      </w:r>
      <w:r>
        <w:rPr>
          <w:rFonts w:ascii="Tahoma" w:cs="Tahoma" w:hAnsi="Tahoma"/>
          <w:sz w:val="24"/>
          <w:szCs w:val="24"/>
        </w:rPr>
        <w:t xml:space="preserve">State </w:t>
      </w:r>
      <w:r>
        <w:rPr>
          <w:rFonts w:ascii="Tahoma" w:cs="Tahoma" w:hAnsi="Tahoma"/>
          <w:sz w:val="24"/>
          <w:szCs w:val="24"/>
        </w:rPr>
        <w:t xml:space="preserve">bonds (above 6 years) </w:t>
      </w:r>
      <w:r>
        <w:rPr>
          <w:rFonts w:ascii="Tahoma" w:cs="Tahoma" w:hAnsi="Tahoma"/>
          <w:sz w:val="24"/>
          <w:szCs w:val="24"/>
        </w:rPr>
        <w:t xml:space="preserve">estimated with an average of </w:t>
      </w:r>
      <w:r>
        <w:rPr>
          <w:rFonts w:ascii="Tahoma" w:cs="Tahoma" w:hAnsi="Tahoma"/>
          <w:sz w:val="24"/>
          <w:szCs w:val="24"/>
        </w:rPr>
        <w:t xml:space="preserve">40.20 </w:t>
      </w:r>
      <w:r>
        <w:rPr>
          <w:rFonts w:ascii="Tahoma" w:cs="Tahoma" w:hAnsi="Tahoma"/>
          <w:sz w:val="24"/>
          <w:szCs w:val="24"/>
        </w:rPr>
        <w:t xml:space="preserve">percent and </w:t>
      </w:r>
      <w:r>
        <w:rPr>
          <w:rFonts w:ascii="Tahoma" w:cs="Tahoma" w:hAnsi="Tahoma"/>
          <w:sz w:val="24"/>
          <w:szCs w:val="24"/>
        </w:rPr>
        <w:t>1</w:t>
      </w:r>
      <w:r>
        <w:rPr>
          <w:rFonts w:ascii="Tahoma" w:cs="Tahoma" w:hAnsi="Tahoma"/>
          <w:sz w:val="24"/>
          <w:szCs w:val="24"/>
        </w:rPr>
        <w:t xml:space="preserve">5.32 </w:t>
      </w:r>
      <w:r>
        <w:rPr>
          <w:rFonts w:ascii="Tahoma" w:cs="Tahoma" w:hAnsi="Tahoma"/>
          <w:sz w:val="24"/>
          <w:szCs w:val="24"/>
        </w:rPr>
        <w:t xml:space="preserve">percent </w:t>
      </w:r>
      <w:bookmarkStart w:id="5" w:name="_Hlk84025743"/>
      <w:r>
        <w:rPr>
          <w:rFonts w:ascii="Tahoma" w:cs="Tahoma" w:hAnsi="Tahoma"/>
          <w:sz w:val="24"/>
          <w:szCs w:val="24"/>
        </w:rPr>
        <w:t>over the DMS period of 202</w:t>
      </w:r>
      <w:r>
        <w:rPr>
          <w:rFonts w:ascii="Tahoma" w:cs="Tahoma" w:hAnsi="Tahoma"/>
          <w:sz w:val="24"/>
          <w:szCs w:val="24"/>
        </w:rPr>
        <w:t>2</w:t>
      </w:r>
      <w:r>
        <w:rPr>
          <w:rFonts w:ascii="Tahoma" w:cs="Tahoma" w:hAnsi="Tahoma"/>
          <w:sz w:val="24"/>
          <w:szCs w:val="24"/>
        </w:rPr>
        <w:t>-202</w:t>
      </w:r>
      <w:bookmarkEnd w:id="5"/>
      <w:r>
        <w:rPr>
          <w:rFonts w:ascii="Tahoma" w:cs="Tahoma" w:hAnsi="Tahoma"/>
          <w:sz w:val="24"/>
          <w:szCs w:val="24"/>
        </w:rPr>
        <w:t>6</w:t>
      </w:r>
      <w:r>
        <w:rPr>
          <w:rFonts w:ascii="Tahoma" w:cs="Tahoma" w:hAnsi="Tahoma"/>
          <w:sz w:val="24"/>
          <w:szCs w:val="24"/>
        </w:rPr>
        <w:t>.</w:t>
      </w:r>
    </w:p>
    <w:p>
      <w:pPr>
        <w:pStyle w:val="style0"/>
        <w:spacing w:lineRule="auto" w:line="360"/>
        <w:jc w:val="both"/>
        <w:rPr>
          <w:rFonts w:ascii="Tahoma" w:cs="Tahoma" w:hAnsi="Tahoma"/>
          <w:color w:val="ff0000"/>
          <w:sz w:val="24"/>
          <w:szCs w:val="24"/>
        </w:rPr>
      </w:pPr>
      <w:r>
        <w:rPr>
          <w:rFonts w:ascii="Tahoma" w:cs="Tahoma" w:hAnsi="Tahoma"/>
          <w:b/>
          <w:bCs/>
          <w:sz w:val="24"/>
          <w:szCs w:val="24"/>
        </w:rPr>
        <w:t>S</w:t>
      </w:r>
      <w:r>
        <w:rPr>
          <w:rFonts w:ascii="Tahoma" w:cs="Tahoma" w:hAnsi="Tahoma"/>
          <w:b/>
          <w:bCs/>
          <w:sz w:val="24"/>
          <w:szCs w:val="24"/>
        </w:rPr>
        <w:t xml:space="preserve">trategy </w:t>
      </w:r>
      <w:r>
        <w:rPr>
          <w:rFonts w:ascii="Tahoma" w:cs="Tahoma" w:hAnsi="Tahoma"/>
          <w:b/>
          <w:bCs/>
          <w:sz w:val="24"/>
          <w:szCs w:val="24"/>
        </w:rPr>
        <w:t xml:space="preserve">2 </w:t>
      </w:r>
      <w:r>
        <w:rPr>
          <w:rFonts w:ascii="Tahoma" w:cs="Tahoma" w:hAnsi="Tahoma"/>
          <w:b/>
          <w:bCs/>
          <w:sz w:val="24"/>
          <w:szCs w:val="24"/>
        </w:rPr>
        <w:t xml:space="preserve">(S2) </w:t>
      </w:r>
      <w:r>
        <w:rPr>
          <w:rFonts w:ascii="Tahoma" w:cs="Tahoma" w:hAnsi="Tahoma"/>
          <w:b/>
          <w:bCs/>
          <w:sz w:val="24"/>
          <w:szCs w:val="24"/>
        </w:rPr>
        <w:t>F</w:t>
      </w:r>
      <w:r>
        <w:rPr>
          <w:rFonts w:ascii="Tahoma" w:cs="Tahoma" w:hAnsi="Tahoma"/>
          <w:b/>
          <w:bCs/>
          <w:sz w:val="24"/>
          <w:szCs w:val="24"/>
        </w:rPr>
        <w:t xml:space="preserve">ocus more </w:t>
      </w:r>
      <w:r>
        <w:rPr>
          <w:rFonts w:ascii="Tahoma" w:cs="Tahoma" w:hAnsi="Tahoma"/>
          <w:b/>
          <w:bCs/>
          <w:sz w:val="24"/>
          <w:szCs w:val="24"/>
        </w:rPr>
        <w:t xml:space="preserve">on </w:t>
      </w:r>
      <w:r>
        <w:rPr>
          <w:rFonts w:ascii="Tahoma" w:cs="Tahoma" w:hAnsi="Tahoma"/>
          <w:b/>
          <w:bCs/>
          <w:sz w:val="24"/>
          <w:szCs w:val="24"/>
        </w:rPr>
        <w:t xml:space="preserve">financing through </w:t>
      </w:r>
      <w:r>
        <w:rPr>
          <w:rFonts w:ascii="Tahoma" w:cs="Tahoma" w:hAnsi="Tahoma"/>
          <w:b/>
          <w:bCs/>
          <w:sz w:val="24"/>
          <w:szCs w:val="24"/>
        </w:rPr>
        <w:t>commercial bank loans:</w:t>
      </w:r>
      <w:r>
        <w:rPr>
          <w:rFonts w:ascii="Tahoma" w:cs="Tahoma" w:hAnsi="Tahoma"/>
          <w:sz w:val="24"/>
          <w:szCs w:val="24"/>
        </w:rPr>
        <w:t xml:space="preserve"> </w:t>
      </w:r>
      <w:bookmarkStart w:id="6" w:name="_Hlk83478609"/>
      <w:r>
        <w:rPr>
          <w:rFonts w:ascii="Tahoma" w:cs="Tahoma" w:hAnsi="Tahoma"/>
          <w:sz w:val="24"/>
          <w:szCs w:val="24"/>
        </w:rPr>
        <w:t xml:space="preserve">In this strategy it has been assumed the </w:t>
      </w:r>
      <w:r>
        <w:rPr>
          <w:rFonts w:ascii="Tahoma" w:cs="Tahoma" w:hAnsi="Tahoma"/>
          <w:sz w:val="24"/>
          <w:szCs w:val="24"/>
        </w:rPr>
        <w:t xml:space="preserve">distribution </w:t>
      </w:r>
      <w:r>
        <w:rPr>
          <w:rFonts w:ascii="Tahoma" w:cs="Tahoma" w:hAnsi="Tahoma"/>
          <w:sz w:val="24"/>
          <w:szCs w:val="24"/>
        </w:rPr>
        <w:t>between external and domestic borrowing remains the same in 202</w:t>
      </w:r>
      <w:r>
        <w:rPr>
          <w:rFonts w:ascii="Tahoma" w:cs="Tahoma" w:hAnsi="Tahoma"/>
          <w:sz w:val="24"/>
          <w:szCs w:val="24"/>
        </w:rPr>
        <w:t>2</w:t>
      </w:r>
      <w:r>
        <w:rPr>
          <w:rFonts w:ascii="Tahoma" w:cs="Tahoma" w:hAnsi="Tahoma"/>
          <w:sz w:val="24"/>
          <w:szCs w:val="24"/>
        </w:rPr>
        <w:t xml:space="preserve"> as</w:t>
      </w:r>
      <w:r>
        <w:rPr>
          <w:rFonts w:ascii="Tahoma" w:cs="Tahoma" w:hAnsi="Tahoma"/>
          <w:sz w:val="24"/>
          <w:szCs w:val="24"/>
        </w:rPr>
        <w:t xml:space="preserve"> its in </w:t>
      </w:r>
      <w:r>
        <w:rPr>
          <w:rFonts w:ascii="Tahoma" w:cs="Tahoma" w:hAnsi="Tahoma"/>
          <w:sz w:val="24"/>
          <w:szCs w:val="24"/>
        </w:rPr>
        <w:t>strategy 1</w:t>
      </w:r>
      <w:bookmarkEnd w:id="6"/>
      <w:r>
        <w:rPr>
          <w:rFonts w:ascii="Tahoma" w:cs="Tahoma" w:hAnsi="Tahoma"/>
          <w:sz w:val="24"/>
          <w:szCs w:val="24"/>
        </w:rPr>
        <w:t>. The remaining of borrowing distributions from 2022 to 20</w:t>
      </w:r>
      <w:r>
        <w:rPr>
          <w:rFonts w:ascii="Tahoma" w:cs="Tahoma" w:hAnsi="Tahoma"/>
          <w:sz w:val="24"/>
          <w:szCs w:val="24"/>
        </w:rPr>
        <w:t>2</w:t>
      </w:r>
      <w:r>
        <w:rPr>
          <w:rFonts w:ascii="Tahoma" w:cs="Tahoma" w:hAnsi="Tahoma"/>
          <w:sz w:val="24"/>
          <w:szCs w:val="24"/>
        </w:rPr>
        <w:t>6</w:t>
      </w:r>
      <w:r>
        <w:rPr>
          <w:rFonts w:ascii="Tahoma" w:cs="Tahoma" w:hAnsi="Tahoma"/>
          <w:sz w:val="24"/>
          <w:szCs w:val="24"/>
        </w:rPr>
        <w:t xml:space="preserve">, the </w:t>
      </w:r>
      <w:r>
        <w:rPr>
          <w:rFonts w:ascii="Tahoma" w:cs="Tahoma" w:hAnsi="Tahoma"/>
          <w:sz w:val="24"/>
          <w:szCs w:val="24"/>
        </w:rPr>
        <w:t xml:space="preserve">state </w:t>
      </w:r>
      <w:r>
        <w:rPr>
          <w:rFonts w:ascii="Tahoma" w:cs="Tahoma" w:hAnsi="Tahoma"/>
          <w:sz w:val="24"/>
          <w:szCs w:val="24"/>
        </w:rPr>
        <w:t xml:space="preserve">government will focus its financing through commercial bank loans </w:t>
      </w:r>
      <w:r>
        <w:rPr>
          <w:rFonts w:ascii="Tahoma" w:cs="Tahoma" w:hAnsi="Tahoma"/>
          <w:sz w:val="24"/>
          <w:szCs w:val="24"/>
        </w:rPr>
        <w:t xml:space="preserve">with average </w:t>
      </w:r>
      <w:r>
        <w:rPr>
          <w:rFonts w:ascii="Tahoma" w:cs="Tahoma" w:hAnsi="Tahoma"/>
          <w:sz w:val="24"/>
          <w:szCs w:val="24"/>
        </w:rPr>
        <w:t>3</w:t>
      </w:r>
      <w:r>
        <w:rPr>
          <w:rFonts w:ascii="Tahoma" w:cs="Tahoma" w:hAnsi="Tahoma"/>
          <w:sz w:val="24"/>
          <w:szCs w:val="24"/>
        </w:rPr>
        <w:t xml:space="preserve">7.31 </w:t>
      </w:r>
      <w:r>
        <w:rPr>
          <w:rFonts w:ascii="Tahoma" w:cs="Tahoma" w:hAnsi="Tahoma"/>
          <w:sz w:val="24"/>
          <w:szCs w:val="24"/>
        </w:rPr>
        <w:t xml:space="preserve">percent under maturity of 1-5 years and </w:t>
      </w:r>
      <w:r>
        <w:rPr>
          <w:rFonts w:ascii="Tahoma" w:cs="Tahoma" w:hAnsi="Tahoma"/>
          <w:sz w:val="24"/>
          <w:szCs w:val="24"/>
        </w:rPr>
        <w:t xml:space="preserve">50.01 </w:t>
      </w:r>
      <w:r>
        <w:rPr>
          <w:rFonts w:ascii="Tahoma" w:cs="Tahoma" w:hAnsi="Tahoma"/>
          <w:sz w:val="24"/>
          <w:szCs w:val="24"/>
        </w:rPr>
        <w:t>percent under maturity of above 6 years</w:t>
      </w:r>
      <w:r>
        <w:rPr>
          <w:rFonts w:ascii="Tahoma" w:cs="Tahoma" w:hAnsi="Tahoma"/>
          <w:sz w:val="24"/>
          <w:szCs w:val="24"/>
        </w:rPr>
        <w:t xml:space="preserve">, other </w:t>
      </w:r>
      <w:r>
        <w:rPr>
          <w:rFonts w:ascii="Tahoma" w:cs="Tahoma" w:hAnsi="Tahoma"/>
          <w:sz w:val="24"/>
          <w:szCs w:val="24"/>
        </w:rPr>
        <w:t xml:space="preserve">gross </w:t>
      </w:r>
      <w:r>
        <w:rPr>
          <w:rFonts w:ascii="Tahoma" w:cs="Tahoma" w:hAnsi="Tahoma"/>
          <w:sz w:val="24"/>
          <w:szCs w:val="24"/>
        </w:rPr>
        <w:t>f</w:t>
      </w:r>
      <w:r>
        <w:rPr>
          <w:rFonts w:ascii="Tahoma" w:cs="Tahoma" w:hAnsi="Tahoma"/>
          <w:sz w:val="24"/>
          <w:szCs w:val="24"/>
        </w:rPr>
        <w:t>inancing</w:t>
      </w:r>
      <w:r>
        <w:rPr>
          <w:rFonts w:ascii="Tahoma" w:cs="Tahoma" w:hAnsi="Tahoma"/>
          <w:sz w:val="24"/>
          <w:szCs w:val="24"/>
        </w:rPr>
        <w:t xml:space="preserve"> needs </w:t>
      </w:r>
      <w:r>
        <w:rPr>
          <w:rFonts w:ascii="Tahoma" w:cs="Tahoma" w:hAnsi="Tahoma"/>
          <w:sz w:val="24"/>
          <w:szCs w:val="24"/>
        </w:rPr>
        <w:t xml:space="preserve">through the State bond with the maturity period of 1-5 years and </w:t>
      </w:r>
      <w:r>
        <w:rPr>
          <w:rFonts w:ascii="Tahoma" w:cs="Tahoma" w:hAnsi="Tahoma"/>
          <w:sz w:val="24"/>
          <w:szCs w:val="24"/>
        </w:rPr>
        <w:t xml:space="preserve">external borrowing through bilateral loan </w:t>
      </w:r>
      <w:r>
        <w:rPr>
          <w:rFonts w:ascii="Tahoma" w:cs="Tahoma" w:hAnsi="Tahoma"/>
          <w:sz w:val="24"/>
          <w:szCs w:val="24"/>
        </w:rPr>
        <w:t xml:space="preserve">estimated to account on average of </w:t>
      </w:r>
      <w:r>
        <w:rPr>
          <w:rFonts w:ascii="Tahoma" w:cs="Tahoma" w:hAnsi="Tahoma"/>
          <w:sz w:val="24"/>
          <w:szCs w:val="24"/>
        </w:rPr>
        <w:t xml:space="preserve">11.78 </w:t>
      </w:r>
      <w:r>
        <w:rPr>
          <w:rFonts w:ascii="Tahoma" w:cs="Tahoma" w:hAnsi="Tahoma"/>
          <w:sz w:val="24"/>
          <w:szCs w:val="24"/>
        </w:rPr>
        <w:t xml:space="preserve">percent and </w:t>
      </w:r>
      <w:r>
        <w:rPr>
          <w:rFonts w:ascii="Tahoma" w:cs="Tahoma" w:hAnsi="Tahoma"/>
          <w:sz w:val="24"/>
          <w:szCs w:val="24"/>
        </w:rPr>
        <w:t xml:space="preserve">5.25 </w:t>
      </w:r>
      <w:r>
        <w:rPr>
          <w:rFonts w:ascii="Tahoma" w:cs="Tahoma" w:hAnsi="Tahoma"/>
          <w:sz w:val="24"/>
          <w:szCs w:val="24"/>
        </w:rPr>
        <w:t>percent</w:t>
      </w:r>
      <w:r>
        <w:rPr>
          <w:rFonts w:ascii="Tahoma" w:cs="Tahoma" w:hAnsi="Tahoma"/>
          <w:sz w:val="24"/>
          <w:szCs w:val="24"/>
        </w:rPr>
        <w:t xml:space="preserve"> over the strategic period</w:t>
      </w:r>
      <w:r>
        <w:rPr>
          <w:rFonts w:ascii="Tahoma" w:cs="Tahoma" w:hAnsi="Tahoma"/>
          <w:sz w:val="24"/>
          <w:szCs w:val="24"/>
        </w:rPr>
        <w:t>.</w:t>
      </w:r>
    </w:p>
    <w:p>
      <w:pPr>
        <w:pStyle w:val="style0"/>
        <w:spacing w:lineRule="auto" w:line="360"/>
        <w:jc w:val="both"/>
        <w:rPr>
          <w:rFonts w:ascii="Tahoma" w:cs="Tahoma" w:hAnsi="Tahoma"/>
          <w:sz w:val="24"/>
          <w:szCs w:val="24"/>
        </w:rPr>
      </w:pPr>
      <w:r>
        <w:rPr>
          <w:rFonts w:ascii="Tahoma" w:cs="Tahoma" w:hAnsi="Tahoma"/>
          <w:b/>
          <w:bCs/>
          <w:sz w:val="24"/>
          <w:szCs w:val="24"/>
        </w:rPr>
        <w:t>S</w:t>
      </w:r>
      <w:r>
        <w:rPr>
          <w:rFonts w:ascii="Tahoma" w:cs="Tahoma" w:hAnsi="Tahoma"/>
          <w:b/>
          <w:bCs/>
          <w:sz w:val="24"/>
          <w:szCs w:val="24"/>
        </w:rPr>
        <w:t xml:space="preserve">trategy (S3) </w:t>
      </w:r>
      <w:r>
        <w:rPr>
          <w:rFonts w:ascii="Tahoma" w:cs="Tahoma" w:hAnsi="Tahoma"/>
          <w:b/>
          <w:bCs/>
          <w:sz w:val="24"/>
          <w:szCs w:val="24"/>
        </w:rPr>
        <w:t>F</w:t>
      </w:r>
      <w:r>
        <w:rPr>
          <w:rFonts w:ascii="Tahoma" w:cs="Tahoma" w:hAnsi="Tahoma"/>
          <w:b/>
          <w:bCs/>
          <w:sz w:val="24"/>
          <w:szCs w:val="24"/>
        </w:rPr>
        <w:t>ocus its financing through domestic debt market</w:t>
      </w:r>
      <w:r>
        <w:rPr>
          <w:rFonts w:ascii="Tahoma" w:cs="Tahoma" w:hAnsi="Tahoma"/>
          <w:sz w:val="24"/>
          <w:szCs w:val="24"/>
        </w:rPr>
        <w:t xml:space="preserve">. </w:t>
      </w:r>
      <w:r>
        <w:rPr>
          <w:rFonts w:ascii="Tahoma" w:cs="Tahoma" w:hAnsi="Tahoma"/>
          <w:sz w:val="24"/>
          <w:szCs w:val="24"/>
        </w:rPr>
        <w:t>In strategy 3, the government decided to focus its financing from 202</w:t>
      </w:r>
      <w:r>
        <w:rPr>
          <w:rFonts w:ascii="Tahoma" w:cs="Tahoma" w:hAnsi="Tahoma"/>
          <w:sz w:val="24"/>
          <w:szCs w:val="24"/>
        </w:rPr>
        <w:t>2</w:t>
      </w:r>
      <w:r>
        <w:rPr>
          <w:rFonts w:ascii="Tahoma" w:cs="Tahoma" w:hAnsi="Tahoma"/>
          <w:sz w:val="24"/>
          <w:szCs w:val="24"/>
        </w:rPr>
        <w:t xml:space="preserve"> to 20</w:t>
      </w:r>
      <w:r>
        <w:rPr>
          <w:rFonts w:ascii="Tahoma" w:cs="Tahoma" w:hAnsi="Tahoma"/>
          <w:sz w:val="24"/>
          <w:szCs w:val="24"/>
        </w:rPr>
        <w:t>2</w:t>
      </w:r>
      <w:r>
        <w:rPr>
          <w:rFonts w:ascii="Tahoma" w:cs="Tahoma" w:hAnsi="Tahoma"/>
          <w:sz w:val="24"/>
          <w:szCs w:val="24"/>
        </w:rPr>
        <w:t>6</w:t>
      </w:r>
      <w:r>
        <w:rPr>
          <w:rFonts w:ascii="Tahoma" w:cs="Tahoma" w:hAnsi="Tahoma"/>
          <w:sz w:val="24"/>
          <w:szCs w:val="24"/>
        </w:rPr>
        <w:t>, through State Bonds (1-5 years)</w:t>
      </w:r>
      <w:r>
        <w:rPr>
          <w:rFonts w:ascii="Tahoma" w:cs="Tahoma" w:hAnsi="Tahoma"/>
          <w:sz w:val="24"/>
          <w:szCs w:val="24"/>
        </w:rPr>
        <w:t>, State Bonds (above 6 years), Commercial Bank loans (1-5 years), Commercial Bank loans</w:t>
      </w:r>
      <w:r>
        <w:rPr>
          <w:rFonts w:ascii="Tahoma" w:cs="Tahoma" w:hAnsi="Tahoma"/>
          <w:sz w:val="24"/>
          <w:szCs w:val="24"/>
        </w:rPr>
        <w:t xml:space="preserve"> with the maturity of above 6 years</w:t>
      </w:r>
      <w:r>
        <w:rPr>
          <w:rFonts w:ascii="Tahoma" w:cs="Tahoma" w:hAnsi="Tahoma"/>
          <w:sz w:val="24"/>
          <w:szCs w:val="24"/>
        </w:rPr>
        <w:t>,</w:t>
      </w:r>
      <w:r>
        <w:rPr>
          <w:rFonts w:ascii="Tahoma" w:cs="Tahoma" w:hAnsi="Tahoma"/>
          <w:sz w:val="24"/>
          <w:szCs w:val="24"/>
        </w:rPr>
        <w:t xml:space="preserve"> </w:t>
      </w:r>
      <w:r>
        <w:rPr>
          <w:rFonts w:ascii="Tahoma" w:cs="Tahoma" w:hAnsi="Tahoma"/>
          <w:sz w:val="24"/>
          <w:szCs w:val="24"/>
        </w:rPr>
        <w:t>Concessional Loans</w:t>
      </w:r>
      <w:r>
        <w:rPr>
          <w:rFonts w:ascii="Tahoma" w:cs="Tahoma" w:hAnsi="Tahoma"/>
          <w:sz w:val="24"/>
          <w:szCs w:val="24"/>
        </w:rPr>
        <w:t xml:space="preserve"> and bilateral loans</w:t>
      </w:r>
      <w:r>
        <w:rPr>
          <w:rFonts w:ascii="Tahoma" w:cs="Tahoma" w:hAnsi="Tahoma"/>
          <w:sz w:val="24"/>
          <w:szCs w:val="24"/>
        </w:rPr>
        <w:t xml:space="preserve"> </w:t>
      </w:r>
      <w:r>
        <w:rPr>
          <w:rFonts w:ascii="Tahoma" w:cs="Tahoma" w:hAnsi="Tahoma"/>
          <w:sz w:val="24"/>
          <w:szCs w:val="24"/>
        </w:rPr>
        <w:t xml:space="preserve">with an average of </w:t>
      </w:r>
      <w:r>
        <w:rPr>
          <w:rFonts w:ascii="Tahoma" w:cs="Tahoma" w:hAnsi="Tahoma"/>
          <w:sz w:val="24"/>
          <w:szCs w:val="24"/>
        </w:rPr>
        <w:t xml:space="preserve">40.95 </w:t>
      </w:r>
      <w:r>
        <w:rPr>
          <w:rFonts w:ascii="Tahoma" w:cs="Tahoma" w:hAnsi="Tahoma"/>
          <w:sz w:val="24"/>
          <w:szCs w:val="24"/>
        </w:rPr>
        <w:t>percent,</w:t>
      </w:r>
      <w:r>
        <w:rPr>
          <w:rFonts w:ascii="Tahoma" w:cs="Tahoma" w:hAnsi="Tahoma"/>
          <w:sz w:val="24"/>
          <w:szCs w:val="24"/>
        </w:rPr>
        <w:t xml:space="preserve"> </w:t>
      </w:r>
      <w:r>
        <w:rPr>
          <w:rFonts w:ascii="Tahoma" w:cs="Tahoma" w:hAnsi="Tahoma"/>
          <w:sz w:val="24"/>
          <w:szCs w:val="24"/>
        </w:rPr>
        <w:t xml:space="preserve">13.67 </w:t>
      </w:r>
      <w:r>
        <w:rPr>
          <w:rFonts w:ascii="Tahoma" w:cs="Tahoma" w:hAnsi="Tahoma"/>
          <w:sz w:val="24"/>
          <w:szCs w:val="24"/>
        </w:rPr>
        <w:t>percent</w:t>
      </w:r>
      <w:r>
        <w:rPr>
          <w:rFonts w:ascii="Tahoma" w:cs="Tahoma" w:hAnsi="Tahoma"/>
          <w:sz w:val="24"/>
          <w:szCs w:val="24"/>
        </w:rPr>
        <w:t xml:space="preserve">, </w:t>
      </w:r>
      <w:r>
        <w:rPr>
          <w:rFonts w:ascii="Tahoma" w:cs="Tahoma" w:hAnsi="Tahoma"/>
          <w:sz w:val="24"/>
          <w:szCs w:val="24"/>
        </w:rPr>
        <w:t xml:space="preserve">14.71 </w:t>
      </w:r>
      <w:r>
        <w:rPr>
          <w:rFonts w:ascii="Tahoma" w:cs="Tahoma" w:hAnsi="Tahoma"/>
          <w:sz w:val="24"/>
          <w:szCs w:val="24"/>
        </w:rPr>
        <w:t xml:space="preserve">percent, </w:t>
      </w:r>
      <w:r>
        <w:rPr>
          <w:rFonts w:ascii="Tahoma" w:cs="Tahoma" w:hAnsi="Tahoma"/>
          <w:sz w:val="24"/>
          <w:szCs w:val="24"/>
        </w:rPr>
        <w:t xml:space="preserve">18.30 </w:t>
      </w:r>
      <w:r>
        <w:rPr>
          <w:rFonts w:ascii="Tahoma" w:cs="Tahoma" w:hAnsi="Tahoma"/>
          <w:sz w:val="24"/>
          <w:szCs w:val="24"/>
        </w:rPr>
        <w:t xml:space="preserve">percent, </w:t>
      </w:r>
      <w:r>
        <w:rPr>
          <w:rFonts w:ascii="Tahoma" w:cs="Tahoma" w:hAnsi="Tahoma"/>
          <w:sz w:val="24"/>
          <w:szCs w:val="24"/>
        </w:rPr>
        <w:t>13.</w:t>
      </w:r>
      <w:r>
        <w:rPr>
          <w:rFonts w:ascii="Tahoma" w:cs="Tahoma" w:hAnsi="Tahoma"/>
          <w:sz w:val="24"/>
          <w:szCs w:val="24"/>
        </w:rPr>
        <w:t>13</w:t>
      </w:r>
      <w:r>
        <w:rPr>
          <w:rFonts w:ascii="Tahoma" w:cs="Tahoma" w:hAnsi="Tahoma"/>
          <w:sz w:val="24"/>
          <w:szCs w:val="24"/>
        </w:rPr>
        <w:t xml:space="preserve"> </w:t>
      </w:r>
      <w:r>
        <w:rPr>
          <w:rFonts w:ascii="Tahoma" w:cs="Tahoma" w:hAnsi="Tahoma"/>
          <w:sz w:val="24"/>
          <w:szCs w:val="24"/>
        </w:rPr>
        <w:t xml:space="preserve">percent, and </w:t>
      </w:r>
      <w:r>
        <w:rPr>
          <w:rFonts w:ascii="Tahoma" w:cs="Tahoma" w:hAnsi="Tahoma"/>
          <w:sz w:val="24"/>
          <w:szCs w:val="24"/>
        </w:rPr>
        <w:t xml:space="preserve">7.32 </w:t>
      </w:r>
      <w:r>
        <w:rPr>
          <w:rFonts w:ascii="Tahoma" w:cs="Tahoma" w:hAnsi="Tahoma"/>
          <w:sz w:val="24"/>
          <w:szCs w:val="24"/>
        </w:rPr>
        <w:t>percent, respectively.</w:t>
      </w:r>
      <w:r>
        <w:rPr>
          <w:rFonts w:ascii="Tahoma" w:cs="Tahoma" w:hAnsi="Tahoma"/>
          <w:sz w:val="24"/>
          <w:szCs w:val="24"/>
        </w:rPr>
        <w:t xml:space="preserve"> </w:t>
      </w:r>
      <w:r>
        <w:rPr>
          <w:rFonts w:ascii="Tahoma" w:cs="Tahoma" w:hAnsi="Tahoma"/>
          <w:sz w:val="24"/>
          <w:szCs w:val="24"/>
        </w:rPr>
        <w:t>This strategy considers the scenario where proportions of external and domestic debt instruments in 202</w:t>
      </w:r>
      <w:r>
        <w:rPr>
          <w:rFonts w:ascii="Tahoma" w:cs="Tahoma" w:hAnsi="Tahoma"/>
          <w:sz w:val="24"/>
          <w:szCs w:val="24"/>
        </w:rPr>
        <w:t>2</w:t>
      </w:r>
      <w:r>
        <w:rPr>
          <w:rFonts w:ascii="Tahoma" w:cs="Tahoma" w:hAnsi="Tahoma"/>
          <w:sz w:val="24"/>
          <w:szCs w:val="24"/>
        </w:rPr>
        <w:t xml:space="preserve"> remains the same with strategy 1.</w:t>
      </w:r>
    </w:p>
    <w:p>
      <w:pPr>
        <w:pStyle w:val="style0"/>
        <w:spacing w:lineRule="auto" w:line="360"/>
        <w:jc w:val="both"/>
        <w:rPr>
          <w:rFonts w:ascii="Tahoma" w:cs="Tahoma" w:hAnsi="Tahoma"/>
          <w:sz w:val="24"/>
          <w:szCs w:val="24"/>
        </w:rPr>
      </w:pPr>
      <w:r>
        <w:rPr>
          <w:rFonts w:ascii="Tahoma" w:cs="Tahoma" w:hAnsi="Tahoma"/>
          <w:b/>
          <w:bCs/>
          <w:sz w:val="24"/>
          <w:szCs w:val="24"/>
        </w:rPr>
        <w:t>S</w:t>
      </w:r>
      <w:r>
        <w:rPr>
          <w:rFonts w:ascii="Tahoma" w:cs="Tahoma" w:hAnsi="Tahoma"/>
          <w:b/>
          <w:bCs/>
          <w:sz w:val="24"/>
          <w:szCs w:val="24"/>
        </w:rPr>
        <w:t xml:space="preserve">trategy (S4) increases the share of </w:t>
      </w:r>
      <w:r>
        <w:rPr>
          <w:rFonts w:ascii="Tahoma" w:cs="Tahoma" w:hAnsi="Tahoma"/>
          <w:b/>
          <w:bCs/>
          <w:sz w:val="24"/>
          <w:szCs w:val="24"/>
        </w:rPr>
        <w:t xml:space="preserve">external </w:t>
      </w:r>
      <w:r>
        <w:rPr>
          <w:rFonts w:ascii="Tahoma" w:cs="Tahoma" w:hAnsi="Tahoma"/>
          <w:b/>
          <w:bCs/>
          <w:sz w:val="24"/>
          <w:szCs w:val="24"/>
        </w:rPr>
        <w:t>borrowing.</w:t>
      </w:r>
      <w:r>
        <w:rPr>
          <w:rFonts w:ascii="Tahoma" w:cs="Tahoma" w:hAnsi="Tahoma"/>
          <w:sz w:val="24"/>
          <w:szCs w:val="24"/>
        </w:rPr>
        <w:t xml:space="preserve"> In this strategy, </w:t>
      </w:r>
      <w:r>
        <w:rPr>
          <w:rFonts w:ascii="Tahoma" w:cs="Tahoma" w:hAnsi="Tahoma"/>
          <w:sz w:val="24"/>
          <w:szCs w:val="24"/>
        </w:rPr>
        <w:t xml:space="preserve">External Financing (Concessional Loans) </w:t>
      </w:r>
      <w:r>
        <w:rPr>
          <w:rFonts w:ascii="Tahoma" w:cs="Tahoma" w:hAnsi="Tahoma"/>
          <w:sz w:val="24"/>
          <w:szCs w:val="24"/>
        </w:rPr>
        <w:t xml:space="preserve">represents </w:t>
      </w:r>
      <w:r>
        <w:rPr>
          <w:rFonts w:ascii="Tahoma" w:cs="Tahoma" w:hAnsi="Tahoma"/>
          <w:sz w:val="24"/>
          <w:szCs w:val="24"/>
        </w:rPr>
        <w:t xml:space="preserve">an average of </w:t>
      </w:r>
      <w:r>
        <w:rPr>
          <w:rFonts w:ascii="Tahoma" w:cs="Tahoma" w:hAnsi="Tahoma"/>
          <w:sz w:val="24"/>
          <w:szCs w:val="24"/>
        </w:rPr>
        <w:t xml:space="preserve">11.83 </w:t>
      </w:r>
      <w:r>
        <w:rPr>
          <w:rFonts w:ascii="Tahoma" w:cs="Tahoma" w:hAnsi="Tahoma"/>
          <w:sz w:val="24"/>
          <w:szCs w:val="24"/>
        </w:rPr>
        <w:t>percent from 202</w:t>
      </w:r>
      <w:r>
        <w:rPr>
          <w:rFonts w:ascii="Tahoma" w:cs="Tahoma" w:hAnsi="Tahoma"/>
          <w:sz w:val="24"/>
          <w:szCs w:val="24"/>
        </w:rPr>
        <w:t>2</w:t>
      </w:r>
      <w:r>
        <w:rPr>
          <w:rFonts w:ascii="Tahoma" w:cs="Tahoma" w:hAnsi="Tahoma"/>
          <w:sz w:val="24"/>
          <w:szCs w:val="24"/>
        </w:rPr>
        <w:t>-202</w:t>
      </w:r>
      <w:r>
        <w:rPr>
          <w:rFonts w:ascii="Tahoma" w:cs="Tahoma" w:hAnsi="Tahoma"/>
          <w:sz w:val="24"/>
          <w:szCs w:val="24"/>
        </w:rPr>
        <w:t>6</w:t>
      </w:r>
      <w:r>
        <w:rPr>
          <w:rFonts w:ascii="Tahoma" w:cs="Tahoma" w:hAnsi="Tahoma"/>
          <w:sz w:val="24"/>
          <w:szCs w:val="24"/>
        </w:rPr>
        <w:t xml:space="preserve">, Bilateral loans </w:t>
      </w:r>
      <w:r>
        <w:rPr>
          <w:rFonts w:ascii="Tahoma" w:cs="Tahoma" w:hAnsi="Tahoma"/>
          <w:sz w:val="24"/>
          <w:szCs w:val="24"/>
        </w:rPr>
        <w:t>9.25</w:t>
      </w:r>
      <w:r>
        <w:rPr>
          <w:rFonts w:ascii="Tahoma" w:cs="Tahoma" w:hAnsi="Tahoma"/>
          <w:sz w:val="24"/>
          <w:szCs w:val="24"/>
        </w:rPr>
        <w:t xml:space="preserve"> </w:t>
      </w:r>
      <w:r>
        <w:rPr>
          <w:rFonts w:ascii="Tahoma" w:cs="Tahoma" w:hAnsi="Tahoma"/>
          <w:sz w:val="24"/>
          <w:szCs w:val="24"/>
        </w:rPr>
        <w:t xml:space="preserve">percent, other </w:t>
      </w:r>
      <w:r>
        <w:rPr>
          <w:rFonts w:ascii="Tahoma" w:cs="Tahoma" w:hAnsi="Tahoma"/>
          <w:sz w:val="24"/>
          <w:szCs w:val="24"/>
        </w:rPr>
        <w:t xml:space="preserve">gross financing comprises other </w:t>
      </w:r>
      <w:r>
        <w:rPr>
          <w:rFonts w:ascii="Tahoma" w:cs="Tahoma" w:hAnsi="Tahoma"/>
          <w:sz w:val="24"/>
          <w:szCs w:val="24"/>
        </w:rPr>
        <w:t>Domestic financing</w:t>
      </w:r>
      <w:r>
        <w:rPr>
          <w:rFonts w:ascii="Tahoma" w:cs="Tahoma" w:hAnsi="Tahoma"/>
          <w:sz w:val="24"/>
          <w:szCs w:val="24"/>
        </w:rPr>
        <w:t xml:space="preserve">, </w:t>
      </w:r>
      <w:r>
        <w:rPr>
          <w:rFonts w:ascii="Tahoma" w:cs="Tahoma" w:hAnsi="Tahoma"/>
          <w:sz w:val="24"/>
          <w:szCs w:val="24"/>
        </w:rPr>
        <w:t>Commercial bank loans (1-5 years)</w:t>
      </w:r>
      <w:r>
        <w:rPr>
          <w:rFonts w:ascii="Tahoma" w:cs="Tahoma" w:hAnsi="Tahoma"/>
          <w:sz w:val="24"/>
          <w:szCs w:val="24"/>
        </w:rPr>
        <w:t xml:space="preserve">, </w:t>
      </w:r>
      <w:r>
        <w:rPr>
          <w:rFonts w:ascii="Tahoma" w:cs="Tahoma" w:hAnsi="Tahoma"/>
          <w:sz w:val="24"/>
          <w:szCs w:val="24"/>
        </w:rPr>
        <w:t>C</w:t>
      </w:r>
      <w:r>
        <w:rPr>
          <w:rFonts w:ascii="Tahoma" w:cs="Tahoma" w:hAnsi="Tahoma"/>
          <w:sz w:val="24"/>
          <w:szCs w:val="24"/>
        </w:rPr>
        <w:t>ommercial bank loans (above 6 years</w:t>
      </w:r>
      <w:r>
        <w:rPr>
          <w:rFonts w:ascii="Tahoma" w:cs="Tahoma" w:hAnsi="Tahoma"/>
          <w:sz w:val="24"/>
          <w:szCs w:val="24"/>
        </w:rPr>
        <w:t>)</w:t>
      </w:r>
      <w:r>
        <w:rPr>
          <w:rFonts w:ascii="Tahoma" w:cs="Tahoma" w:hAnsi="Tahoma"/>
          <w:sz w:val="24"/>
          <w:szCs w:val="24"/>
        </w:rPr>
        <w:t xml:space="preserve"> and State bonds (1-5 years)</w:t>
      </w:r>
      <w:r>
        <w:rPr>
          <w:rFonts w:ascii="Tahoma" w:cs="Tahoma" w:hAnsi="Tahoma"/>
          <w:sz w:val="24"/>
          <w:szCs w:val="24"/>
        </w:rPr>
        <w:t xml:space="preserve"> with average period of </w:t>
      </w:r>
      <w:r>
        <w:rPr>
          <w:rFonts w:ascii="Tahoma" w:cs="Tahoma" w:hAnsi="Tahoma"/>
          <w:sz w:val="24"/>
          <w:szCs w:val="24"/>
        </w:rPr>
        <w:t xml:space="preserve">46.95 </w:t>
      </w:r>
      <w:r>
        <w:rPr>
          <w:rFonts w:ascii="Tahoma" w:cs="Tahoma" w:hAnsi="Tahoma"/>
          <w:sz w:val="24"/>
          <w:szCs w:val="24"/>
        </w:rPr>
        <w:t xml:space="preserve">percent, </w:t>
      </w:r>
      <w:r>
        <w:rPr>
          <w:rFonts w:ascii="Tahoma" w:cs="Tahoma" w:hAnsi="Tahoma"/>
          <w:sz w:val="24"/>
          <w:szCs w:val="24"/>
        </w:rPr>
        <w:t xml:space="preserve">22.86 </w:t>
      </w:r>
      <w:r>
        <w:rPr>
          <w:rFonts w:ascii="Tahoma" w:cs="Tahoma" w:hAnsi="Tahoma"/>
          <w:sz w:val="24"/>
          <w:szCs w:val="24"/>
        </w:rPr>
        <w:t xml:space="preserve">percent and </w:t>
      </w:r>
      <w:r>
        <w:rPr>
          <w:rFonts w:ascii="Tahoma" w:cs="Tahoma" w:hAnsi="Tahoma"/>
          <w:sz w:val="24"/>
          <w:szCs w:val="24"/>
        </w:rPr>
        <w:t>13.1</w:t>
      </w:r>
      <w:r>
        <w:rPr>
          <w:rFonts w:ascii="Tahoma" w:cs="Tahoma" w:hAnsi="Tahoma"/>
          <w:sz w:val="24"/>
          <w:szCs w:val="24"/>
        </w:rPr>
        <w:t>4</w:t>
      </w:r>
      <w:r>
        <w:rPr>
          <w:rFonts w:ascii="Tahoma" w:cs="Tahoma" w:hAnsi="Tahoma"/>
          <w:sz w:val="24"/>
          <w:szCs w:val="24"/>
        </w:rPr>
        <w:t xml:space="preserve"> </w:t>
      </w:r>
      <w:r>
        <w:rPr>
          <w:rFonts w:ascii="Tahoma" w:cs="Tahoma" w:hAnsi="Tahoma"/>
          <w:sz w:val="24"/>
          <w:szCs w:val="24"/>
        </w:rPr>
        <w:t>percent, respectively</w:t>
      </w:r>
      <w:r>
        <w:rPr>
          <w:rFonts w:ascii="Tahoma" w:cs="Tahoma" w:hAnsi="Tahoma"/>
          <w:sz w:val="24"/>
          <w:szCs w:val="24"/>
        </w:rPr>
        <w:t>.</w:t>
      </w:r>
    </w:p>
    <w:bookmarkStart w:id="7" w:name="_Toc79503958"/>
    <w:p>
      <w:pPr>
        <w:pStyle w:val="style0"/>
        <w:spacing w:after="0" w:lineRule="auto" w:line="360"/>
        <w:rPr>
          <w:rFonts w:ascii="Tahoma" w:cs="Tahoma" w:hAnsi="Tahoma"/>
          <w:b/>
          <w:bCs/>
          <w:color w:val="0070c0"/>
          <w:sz w:val="24"/>
          <w:szCs w:val="24"/>
        </w:rPr>
      </w:pPr>
      <w:r>
        <w:rPr>
          <w:rFonts w:ascii="Tahoma" w:cs="Tahoma" w:hAnsi="Tahoma"/>
          <w:b/>
          <w:bCs/>
          <w:color w:val="0070c0"/>
          <w:sz w:val="24"/>
          <w:szCs w:val="24"/>
        </w:rPr>
        <w:t>5.</w:t>
      </w:r>
      <w:r>
        <w:rPr>
          <w:rFonts w:ascii="Tahoma" w:cs="Tahoma" w:hAnsi="Tahoma"/>
          <w:b/>
          <w:bCs/>
          <w:color w:val="0070c0"/>
          <w:sz w:val="24"/>
          <w:szCs w:val="24"/>
        </w:rPr>
        <w:t>2</w:t>
      </w:r>
      <w:r>
        <w:rPr>
          <w:rFonts w:ascii="Tahoma" w:cs="Tahoma" w:hAnsi="Tahoma"/>
          <w:b/>
          <w:bCs/>
          <w:color w:val="0070c0"/>
          <w:sz w:val="24"/>
          <w:szCs w:val="24"/>
        </w:rPr>
        <w:t xml:space="preserve"> </w:t>
      </w:r>
      <w:bookmarkEnd w:id="7"/>
      <w:r>
        <w:rPr>
          <w:rFonts w:ascii="Tahoma" w:cs="Tahoma" w:hAnsi="Tahoma"/>
          <w:b/>
          <w:bCs/>
          <w:color w:val="0070c0"/>
          <w:sz w:val="24"/>
          <w:szCs w:val="24"/>
        </w:rPr>
        <w:t>DMS Simulation Results</w:t>
      </w:r>
    </w:p>
    <w:p>
      <w:pPr>
        <w:pStyle w:val="style0"/>
        <w:spacing w:after="0" w:lineRule="auto" w:line="360"/>
        <w:jc w:val="both"/>
        <w:rPr>
          <w:rFonts w:ascii="Tahoma" w:cs="Tahoma" w:hAnsi="Tahoma"/>
          <w:bCs/>
          <w:iCs/>
          <w:color w:val="000000"/>
          <w:sz w:val="24"/>
          <w:szCs w:val="24"/>
        </w:rPr>
      </w:pPr>
      <w:r>
        <w:rPr>
          <w:rFonts w:ascii="Tahoma" w:cs="Tahoma" w:hAnsi="Tahoma"/>
          <w:bCs/>
          <w:iCs/>
          <w:color w:val="000000"/>
          <w:sz w:val="24"/>
          <w:szCs w:val="24"/>
        </w:rPr>
        <w:t>Analysis of strategies &amp; outcomes of the analysis</w:t>
      </w:r>
      <w:r>
        <w:rPr>
          <w:rFonts w:ascii="Tahoma" w:cs="Tahoma" w:hAnsi="Tahoma"/>
          <w:bCs/>
          <w:iCs/>
          <w:color w:val="000000"/>
          <w:sz w:val="24"/>
          <w:szCs w:val="24"/>
        </w:rPr>
        <w:t>.</w:t>
      </w:r>
      <w:r>
        <w:rPr>
          <w:rFonts w:ascii="Tahoma" w:cs="Tahoma" w:hAnsi="Tahoma"/>
          <w:bCs/>
          <w:iCs/>
          <w:color w:val="000000"/>
          <w:sz w:val="24"/>
          <w:szCs w:val="24"/>
        </w:rPr>
        <w:t xml:space="preserve"> The cost risk trade off charts illustrate the performance of the alternative strategies with respect to four debt burden indicators.</w:t>
      </w:r>
    </w:p>
    <w:p>
      <w:pPr>
        <w:pStyle w:val="style0"/>
        <w:spacing w:after="0" w:lineRule="auto" w:line="360"/>
        <w:jc w:val="both"/>
        <w:rPr>
          <w:rFonts w:ascii="Tahoma" w:cs="Tahoma" w:hAnsi="Tahoma"/>
          <w:bCs/>
          <w:iCs/>
          <w:color w:val="000000"/>
          <w:sz w:val="24"/>
          <w:szCs w:val="24"/>
        </w:rPr>
      </w:pPr>
    </w:p>
    <w:p>
      <w:pPr>
        <w:pStyle w:val="style179"/>
        <w:numPr>
          <w:ilvl w:val="0"/>
          <w:numId w:val="4"/>
        </w:numPr>
        <w:spacing w:after="0" w:lineRule="auto" w:line="360"/>
        <w:ind w:left="426" w:hanging="426"/>
        <w:jc w:val="both"/>
        <w:rPr>
          <w:rFonts w:ascii="Tahoma" w:cs="Tahoma" w:hAnsi="Tahoma"/>
          <w:b/>
          <w:iCs/>
          <w:color w:val="000000"/>
          <w:sz w:val="24"/>
          <w:szCs w:val="24"/>
        </w:rPr>
      </w:pPr>
      <w:r>
        <w:rPr>
          <w:rFonts w:ascii="Tahoma" w:cs="Tahoma" w:hAnsi="Tahoma"/>
          <w:b/>
          <w:iCs/>
          <w:color w:val="000000"/>
          <w:sz w:val="24"/>
          <w:szCs w:val="24"/>
        </w:rPr>
        <w:t xml:space="preserve">Debt </w:t>
      </w:r>
      <w:r>
        <w:rPr>
          <w:rFonts w:ascii="Tahoma" w:cs="Tahoma" w:hAnsi="Tahoma"/>
          <w:b/>
          <w:iCs/>
          <w:color w:val="000000"/>
          <w:sz w:val="24"/>
          <w:szCs w:val="24"/>
        </w:rPr>
        <w:t>as a share Revenue</w:t>
      </w:r>
      <w:r>
        <w:rPr>
          <w:rFonts w:ascii="Tahoma" w:cs="Tahoma" w:hAnsi="Tahoma"/>
          <w:b/>
          <w:iCs/>
          <w:color w:val="000000"/>
          <w:sz w:val="24"/>
          <w:szCs w:val="24"/>
        </w:rPr>
        <w:t xml:space="preserve">: </w:t>
      </w:r>
    </w:p>
    <w:p>
      <w:pPr>
        <w:pStyle w:val="style179"/>
        <w:numPr>
          <w:ilvl w:val="0"/>
          <w:numId w:val="5"/>
        </w:numPr>
        <w:spacing w:lineRule="auto" w:line="360"/>
        <w:ind w:left="709"/>
        <w:jc w:val="both"/>
        <w:rPr>
          <w:rFonts w:ascii="Tahoma" w:cs="Tahoma" w:hAnsi="Tahoma"/>
          <w:bCs/>
          <w:iCs/>
          <w:color w:val="000000"/>
          <w:sz w:val="24"/>
          <w:szCs w:val="24"/>
        </w:rPr>
      </w:pPr>
      <w:r>
        <w:rPr>
          <w:rFonts w:ascii="Tahoma" w:cs="Tahoma" w:hAnsi="Tahoma"/>
          <w:bCs/>
          <w:iCs/>
          <w:color w:val="000000"/>
          <w:sz w:val="24"/>
          <w:szCs w:val="24"/>
        </w:rPr>
        <w:t xml:space="preserve">Strategy </w:t>
      </w:r>
      <w:r>
        <w:rPr>
          <w:rFonts w:ascii="Tahoma" w:cs="Tahoma" w:hAnsi="Tahoma"/>
          <w:bCs/>
          <w:iCs/>
          <w:color w:val="000000"/>
          <w:sz w:val="24"/>
          <w:szCs w:val="24"/>
        </w:rPr>
        <w:t>1</w:t>
      </w:r>
      <w:r>
        <w:rPr>
          <w:rFonts w:ascii="Tahoma" w:cs="Tahoma" w:hAnsi="Tahoma"/>
          <w:bCs/>
          <w:iCs/>
          <w:color w:val="000000"/>
          <w:sz w:val="24"/>
          <w:szCs w:val="24"/>
        </w:rPr>
        <w:t xml:space="preserve"> shows the Cost ratio of Debt to Revenue estimated at 9</w:t>
      </w:r>
      <w:r>
        <w:rPr>
          <w:rFonts w:ascii="Tahoma" w:cs="Tahoma" w:hAnsi="Tahoma"/>
          <w:bCs/>
          <w:iCs/>
          <w:color w:val="000000"/>
          <w:sz w:val="24"/>
          <w:szCs w:val="24"/>
        </w:rPr>
        <w:t>8.03</w:t>
      </w:r>
      <w:r>
        <w:rPr>
          <w:rFonts w:ascii="Tahoma" w:cs="Tahoma" w:hAnsi="Tahoma"/>
          <w:bCs/>
          <w:iCs/>
          <w:color w:val="000000"/>
          <w:sz w:val="24"/>
          <w:szCs w:val="24"/>
        </w:rPr>
        <w:t xml:space="preserve"> </w:t>
      </w:r>
      <w:r>
        <w:rPr>
          <w:rFonts w:ascii="Tahoma" w:cs="Tahoma" w:hAnsi="Tahoma"/>
          <w:bCs/>
          <w:iCs/>
          <w:color w:val="000000"/>
          <w:sz w:val="24"/>
          <w:szCs w:val="24"/>
        </w:rPr>
        <w:t>percent in 202</w:t>
      </w:r>
      <w:r>
        <w:rPr>
          <w:rFonts w:ascii="Tahoma" w:cs="Tahoma" w:hAnsi="Tahoma"/>
          <w:bCs/>
          <w:iCs/>
          <w:color w:val="000000"/>
          <w:sz w:val="24"/>
          <w:szCs w:val="24"/>
        </w:rPr>
        <w:t>6</w:t>
      </w:r>
      <w:r>
        <w:rPr>
          <w:rFonts w:ascii="Tahoma" w:cs="Tahoma" w:hAnsi="Tahoma"/>
          <w:bCs/>
          <w:iCs/>
          <w:color w:val="000000"/>
          <w:sz w:val="24"/>
          <w:szCs w:val="24"/>
        </w:rPr>
        <w:t xml:space="preserve">, as against Strategy </w:t>
      </w:r>
      <w:r>
        <w:rPr>
          <w:rFonts w:ascii="Tahoma" w:cs="Tahoma" w:hAnsi="Tahoma"/>
          <w:bCs/>
          <w:iCs/>
          <w:color w:val="000000"/>
          <w:sz w:val="24"/>
          <w:szCs w:val="24"/>
        </w:rPr>
        <w:t>4</w:t>
      </w:r>
      <w:r>
        <w:rPr>
          <w:rFonts w:ascii="Tahoma" w:cs="Tahoma" w:hAnsi="Tahoma"/>
          <w:bCs/>
          <w:iCs/>
          <w:color w:val="000000"/>
          <w:sz w:val="24"/>
          <w:szCs w:val="24"/>
        </w:rPr>
        <w:t xml:space="preserve"> (</w:t>
      </w:r>
      <w:r>
        <w:rPr>
          <w:rFonts w:ascii="Tahoma" w:cs="Tahoma" w:hAnsi="Tahoma"/>
          <w:bCs/>
          <w:iCs/>
          <w:color w:val="000000"/>
          <w:sz w:val="24"/>
          <w:szCs w:val="24"/>
        </w:rPr>
        <w:t>9</w:t>
      </w:r>
      <w:r>
        <w:rPr>
          <w:rFonts w:ascii="Tahoma" w:cs="Tahoma" w:hAnsi="Tahoma"/>
          <w:bCs/>
          <w:iCs/>
          <w:color w:val="000000"/>
          <w:sz w:val="24"/>
          <w:szCs w:val="24"/>
        </w:rPr>
        <w:t>4.99</w:t>
      </w:r>
      <w:r>
        <w:rPr>
          <w:rFonts w:ascii="Tahoma" w:cs="Tahoma" w:hAnsi="Tahoma"/>
          <w:bCs/>
          <w:iCs/>
          <w:color w:val="000000"/>
          <w:sz w:val="24"/>
          <w:szCs w:val="24"/>
        </w:rPr>
        <w:t xml:space="preserve"> </w:t>
      </w:r>
      <w:r>
        <w:rPr>
          <w:rFonts w:ascii="Tahoma" w:cs="Tahoma" w:hAnsi="Tahoma"/>
          <w:bCs/>
          <w:iCs/>
          <w:color w:val="000000"/>
          <w:sz w:val="24"/>
          <w:szCs w:val="24"/>
        </w:rPr>
        <w:t>percent), Strategy 2 (</w:t>
      </w:r>
      <w:r>
        <w:rPr>
          <w:rFonts w:ascii="Tahoma" w:cs="Tahoma" w:hAnsi="Tahoma"/>
          <w:bCs/>
          <w:iCs/>
          <w:color w:val="000000"/>
          <w:sz w:val="24"/>
          <w:szCs w:val="24"/>
        </w:rPr>
        <w:t>9</w:t>
      </w:r>
      <w:r>
        <w:rPr>
          <w:rFonts w:ascii="Tahoma" w:cs="Tahoma" w:hAnsi="Tahoma"/>
          <w:bCs/>
          <w:iCs/>
          <w:color w:val="000000"/>
          <w:sz w:val="24"/>
          <w:szCs w:val="24"/>
        </w:rPr>
        <w:t>8.84</w:t>
      </w:r>
      <w:r>
        <w:rPr>
          <w:rFonts w:ascii="Tahoma" w:cs="Tahoma" w:hAnsi="Tahoma"/>
          <w:bCs/>
          <w:iCs/>
          <w:color w:val="000000"/>
          <w:sz w:val="24"/>
          <w:szCs w:val="24"/>
        </w:rPr>
        <w:t xml:space="preserve"> </w:t>
      </w:r>
      <w:r>
        <w:rPr>
          <w:rFonts w:ascii="Tahoma" w:cs="Tahoma" w:hAnsi="Tahoma"/>
          <w:bCs/>
          <w:iCs/>
          <w:color w:val="000000"/>
          <w:sz w:val="24"/>
          <w:szCs w:val="24"/>
        </w:rPr>
        <w:t>percent) and Strategy 3 (</w:t>
      </w:r>
      <w:r>
        <w:rPr>
          <w:rFonts w:ascii="Tahoma" w:cs="Tahoma" w:hAnsi="Tahoma"/>
          <w:bCs/>
          <w:iCs/>
          <w:color w:val="000000"/>
          <w:sz w:val="24"/>
          <w:szCs w:val="24"/>
        </w:rPr>
        <w:t>99.</w:t>
      </w:r>
      <w:r>
        <w:rPr>
          <w:rFonts w:ascii="Tahoma" w:cs="Tahoma" w:hAnsi="Tahoma"/>
          <w:bCs/>
          <w:iCs/>
          <w:color w:val="000000"/>
          <w:sz w:val="24"/>
          <w:szCs w:val="24"/>
        </w:rPr>
        <w:t>02</w:t>
      </w:r>
      <w:r>
        <w:rPr>
          <w:rFonts w:ascii="Tahoma" w:cs="Tahoma" w:hAnsi="Tahoma"/>
          <w:bCs/>
          <w:iCs/>
          <w:color w:val="000000"/>
          <w:sz w:val="24"/>
          <w:szCs w:val="24"/>
        </w:rPr>
        <w:t xml:space="preserve"> </w:t>
      </w:r>
      <w:r>
        <w:rPr>
          <w:rFonts w:ascii="Tahoma" w:cs="Tahoma" w:hAnsi="Tahoma"/>
          <w:bCs/>
          <w:iCs/>
          <w:color w:val="000000"/>
          <w:sz w:val="24"/>
          <w:szCs w:val="24"/>
        </w:rPr>
        <w:t>percent), over the DMS period of 202</w:t>
      </w:r>
      <w:r>
        <w:rPr>
          <w:rFonts w:ascii="Tahoma" w:cs="Tahoma" w:hAnsi="Tahoma"/>
          <w:bCs/>
          <w:iCs/>
          <w:color w:val="000000"/>
          <w:sz w:val="24"/>
          <w:szCs w:val="24"/>
        </w:rPr>
        <w:t>6</w:t>
      </w:r>
      <w:r>
        <w:rPr>
          <w:rFonts w:ascii="Tahoma" w:cs="Tahoma" w:hAnsi="Tahoma"/>
          <w:bCs/>
          <w:iCs/>
          <w:color w:val="000000"/>
          <w:sz w:val="24"/>
          <w:szCs w:val="24"/>
        </w:rPr>
        <w:t xml:space="preserve">, compared with the Risks measured of Strategy </w:t>
      </w:r>
      <w:r>
        <w:rPr>
          <w:rFonts w:ascii="Tahoma" w:cs="Tahoma" w:hAnsi="Tahoma"/>
          <w:bCs/>
          <w:iCs/>
          <w:color w:val="000000"/>
          <w:sz w:val="24"/>
          <w:szCs w:val="24"/>
        </w:rPr>
        <w:t>1</w:t>
      </w:r>
      <w:r>
        <w:rPr>
          <w:rFonts w:ascii="Tahoma" w:cs="Tahoma" w:hAnsi="Tahoma"/>
          <w:bCs/>
          <w:iCs/>
          <w:color w:val="000000"/>
          <w:sz w:val="24"/>
          <w:szCs w:val="24"/>
        </w:rPr>
        <w:t xml:space="preserve"> (</w:t>
      </w:r>
      <w:r>
        <w:rPr>
          <w:rFonts w:ascii="Tahoma" w:cs="Tahoma" w:hAnsi="Tahoma"/>
          <w:bCs/>
          <w:iCs/>
          <w:color w:val="000000"/>
          <w:sz w:val="24"/>
          <w:szCs w:val="24"/>
        </w:rPr>
        <w:t>58.</w:t>
      </w:r>
      <w:r>
        <w:rPr>
          <w:rFonts w:ascii="Tahoma" w:cs="Tahoma" w:hAnsi="Tahoma"/>
          <w:bCs/>
          <w:iCs/>
          <w:color w:val="000000"/>
          <w:sz w:val="24"/>
          <w:szCs w:val="24"/>
        </w:rPr>
        <w:t>77</w:t>
      </w:r>
      <w:r>
        <w:rPr>
          <w:rFonts w:ascii="Tahoma" w:cs="Tahoma" w:hAnsi="Tahoma"/>
          <w:bCs/>
          <w:iCs/>
          <w:color w:val="000000"/>
          <w:sz w:val="24"/>
          <w:szCs w:val="24"/>
        </w:rPr>
        <w:t xml:space="preserve"> </w:t>
      </w:r>
      <w:r>
        <w:rPr>
          <w:rFonts w:ascii="Tahoma" w:cs="Tahoma" w:hAnsi="Tahoma"/>
          <w:bCs/>
          <w:iCs/>
          <w:color w:val="000000"/>
          <w:sz w:val="24"/>
          <w:szCs w:val="24"/>
        </w:rPr>
        <w:t xml:space="preserve">percent), Strategy </w:t>
      </w:r>
      <w:r>
        <w:rPr>
          <w:rFonts w:ascii="Tahoma" w:cs="Tahoma" w:hAnsi="Tahoma"/>
          <w:bCs/>
          <w:iCs/>
          <w:color w:val="000000"/>
          <w:sz w:val="24"/>
          <w:szCs w:val="24"/>
        </w:rPr>
        <w:t>4</w:t>
      </w:r>
      <w:r>
        <w:rPr>
          <w:rFonts w:ascii="Tahoma" w:cs="Tahoma" w:hAnsi="Tahoma"/>
          <w:bCs/>
          <w:iCs/>
          <w:color w:val="000000"/>
          <w:sz w:val="24"/>
          <w:szCs w:val="24"/>
        </w:rPr>
        <w:t xml:space="preserve"> (</w:t>
      </w:r>
      <w:r>
        <w:rPr>
          <w:rFonts w:ascii="Tahoma" w:cs="Tahoma" w:hAnsi="Tahoma"/>
          <w:bCs/>
          <w:iCs/>
          <w:color w:val="000000"/>
          <w:sz w:val="24"/>
          <w:szCs w:val="24"/>
        </w:rPr>
        <w:t>58.</w:t>
      </w:r>
      <w:r>
        <w:rPr>
          <w:rFonts w:ascii="Tahoma" w:cs="Tahoma" w:hAnsi="Tahoma"/>
          <w:bCs/>
          <w:iCs/>
          <w:color w:val="000000"/>
          <w:sz w:val="24"/>
          <w:szCs w:val="24"/>
        </w:rPr>
        <w:t xml:space="preserve">66 </w:t>
      </w:r>
      <w:r>
        <w:rPr>
          <w:rFonts w:ascii="Tahoma" w:cs="Tahoma" w:hAnsi="Tahoma"/>
          <w:bCs/>
          <w:iCs/>
          <w:color w:val="000000"/>
          <w:sz w:val="24"/>
          <w:szCs w:val="24"/>
        </w:rPr>
        <w:t xml:space="preserve">percent), Strategy </w:t>
      </w:r>
      <w:r>
        <w:rPr>
          <w:rFonts w:ascii="Tahoma" w:cs="Tahoma" w:hAnsi="Tahoma"/>
          <w:bCs/>
          <w:iCs/>
          <w:color w:val="000000"/>
          <w:sz w:val="24"/>
          <w:szCs w:val="24"/>
        </w:rPr>
        <w:t>2</w:t>
      </w:r>
      <w:r>
        <w:rPr>
          <w:rFonts w:ascii="Tahoma" w:cs="Tahoma" w:hAnsi="Tahoma"/>
          <w:bCs/>
          <w:iCs/>
          <w:color w:val="000000"/>
          <w:sz w:val="24"/>
          <w:szCs w:val="24"/>
        </w:rPr>
        <w:t xml:space="preserve"> (</w:t>
      </w:r>
      <w:r>
        <w:rPr>
          <w:rFonts w:ascii="Tahoma" w:cs="Tahoma" w:hAnsi="Tahoma"/>
          <w:bCs/>
          <w:iCs/>
          <w:color w:val="000000"/>
          <w:sz w:val="24"/>
          <w:szCs w:val="24"/>
        </w:rPr>
        <w:t>58.8</w:t>
      </w:r>
      <w:r>
        <w:rPr>
          <w:rFonts w:ascii="Tahoma" w:cs="Tahoma" w:hAnsi="Tahoma"/>
          <w:bCs/>
          <w:iCs/>
          <w:color w:val="000000"/>
          <w:sz w:val="24"/>
          <w:szCs w:val="24"/>
        </w:rPr>
        <w:t>6</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Strategy </w:t>
      </w:r>
      <w:r>
        <w:rPr>
          <w:rFonts w:ascii="Tahoma" w:cs="Tahoma" w:hAnsi="Tahoma"/>
          <w:bCs/>
          <w:iCs/>
          <w:color w:val="000000"/>
          <w:sz w:val="24"/>
          <w:szCs w:val="24"/>
        </w:rPr>
        <w:t>3</w:t>
      </w:r>
      <w:r>
        <w:rPr>
          <w:rFonts w:ascii="Tahoma" w:cs="Tahoma" w:hAnsi="Tahoma"/>
          <w:bCs/>
          <w:iCs/>
          <w:color w:val="000000"/>
          <w:sz w:val="24"/>
          <w:szCs w:val="24"/>
        </w:rPr>
        <w:t xml:space="preserve"> (</w:t>
      </w:r>
      <w:r>
        <w:rPr>
          <w:rFonts w:ascii="Tahoma" w:cs="Tahoma" w:hAnsi="Tahoma"/>
          <w:bCs/>
          <w:iCs/>
          <w:color w:val="000000"/>
          <w:sz w:val="24"/>
          <w:szCs w:val="24"/>
        </w:rPr>
        <w:t>58.88</w:t>
      </w:r>
      <w:r>
        <w:rPr>
          <w:rFonts w:ascii="Tahoma" w:cs="Tahoma" w:hAnsi="Tahoma"/>
          <w:bCs/>
          <w:iCs/>
          <w:color w:val="000000"/>
          <w:sz w:val="24"/>
          <w:szCs w:val="24"/>
        </w:rPr>
        <w:t xml:space="preserve"> </w:t>
      </w:r>
      <w:r>
        <w:rPr>
          <w:rFonts w:ascii="Tahoma" w:cs="Tahoma" w:hAnsi="Tahoma"/>
          <w:bCs/>
          <w:iCs/>
          <w:color w:val="000000"/>
          <w:sz w:val="24"/>
          <w:szCs w:val="24"/>
        </w:rPr>
        <w:t>percent), respectively.</w:t>
      </w:r>
    </w:p>
    <w:p>
      <w:pPr>
        <w:pStyle w:val="style179"/>
        <w:numPr>
          <w:ilvl w:val="0"/>
          <w:numId w:val="5"/>
        </w:numPr>
        <w:spacing w:lineRule="auto" w:line="360"/>
        <w:ind w:left="709"/>
        <w:jc w:val="both"/>
        <w:rPr>
          <w:rFonts w:ascii="Tahoma" w:cs="Tahoma" w:hAnsi="Tahoma"/>
          <w:bCs/>
          <w:iCs/>
          <w:color w:val="000000"/>
          <w:sz w:val="24"/>
          <w:szCs w:val="24"/>
        </w:rPr>
      </w:pPr>
      <w:r>
        <w:rPr>
          <w:rFonts w:ascii="Tahoma" w:cs="Tahoma" w:hAnsi="Tahoma"/>
          <w:sz w:val="24"/>
          <w:szCs w:val="24"/>
        </w:rPr>
        <w:t>Analysis using this debt indicator of debt to revenue shows that S</w:t>
      </w:r>
      <w:r>
        <w:rPr>
          <w:rFonts w:ascii="Tahoma" w:cs="Tahoma" w:hAnsi="Tahoma"/>
          <w:sz w:val="24"/>
          <w:szCs w:val="24"/>
        </w:rPr>
        <w:t>4</w:t>
      </w:r>
      <w:r>
        <w:rPr>
          <w:rFonts w:ascii="Tahoma" w:cs="Tahoma" w:hAnsi="Tahoma"/>
          <w:sz w:val="24"/>
          <w:szCs w:val="24"/>
        </w:rPr>
        <w:t xml:space="preserve"> has the lowest costs </w:t>
      </w:r>
      <w:r>
        <w:rPr>
          <w:rFonts w:ascii="Tahoma" w:cs="Tahoma" w:hAnsi="Tahoma"/>
          <w:sz w:val="24"/>
          <w:szCs w:val="24"/>
        </w:rPr>
        <w:t xml:space="preserve">and risks </w:t>
      </w:r>
      <w:r>
        <w:rPr>
          <w:rFonts w:ascii="Tahoma" w:cs="Tahoma" w:hAnsi="Tahoma"/>
          <w:sz w:val="24"/>
          <w:szCs w:val="24"/>
        </w:rPr>
        <w:t xml:space="preserve">with the average measured by </w:t>
      </w:r>
      <w:r>
        <w:rPr>
          <w:rFonts w:ascii="Tahoma" w:cs="Tahoma" w:hAnsi="Tahoma"/>
          <w:sz w:val="24"/>
          <w:szCs w:val="24"/>
        </w:rPr>
        <w:t>9</w:t>
      </w:r>
      <w:r>
        <w:rPr>
          <w:rFonts w:ascii="Tahoma" w:cs="Tahoma" w:hAnsi="Tahoma"/>
          <w:sz w:val="24"/>
          <w:szCs w:val="24"/>
        </w:rPr>
        <w:t>6.99</w:t>
      </w:r>
      <w:r>
        <w:rPr>
          <w:rFonts w:ascii="Tahoma" w:cs="Tahoma" w:hAnsi="Tahoma"/>
          <w:sz w:val="24"/>
          <w:szCs w:val="24"/>
        </w:rPr>
        <w:t xml:space="preserve"> </w:t>
      </w:r>
      <w:r>
        <w:rPr>
          <w:rFonts w:ascii="Tahoma" w:cs="Tahoma" w:hAnsi="Tahoma"/>
          <w:sz w:val="24"/>
          <w:szCs w:val="24"/>
        </w:rPr>
        <w:t xml:space="preserve">percent </w:t>
      </w:r>
      <w:r>
        <w:rPr>
          <w:rFonts w:ascii="Tahoma" w:cs="Tahoma" w:hAnsi="Tahoma"/>
          <w:sz w:val="24"/>
          <w:szCs w:val="24"/>
        </w:rPr>
        <w:t xml:space="preserve">and </w:t>
      </w:r>
      <w:r>
        <w:rPr>
          <w:rFonts w:ascii="Tahoma" w:cs="Tahoma" w:hAnsi="Tahoma"/>
          <w:sz w:val="24"/>
          <w:szCs w:val="24"/>
        </w:rPr>
        <w:t>58.</w:t>
      </w:r>
      <w:r>
        <w:rPr>
          <w:rFonts w:ascii="Tahoma" w:cs="Tahoma" w:hAnsi="Tahoma"/>
          <w:sz w:val="24"/>
          <w:szCs w:val="24"/>
        </w:rPr>
        <w:t xml:space="preserve">66 </w:t>
      </w:r>
      <w:r>
        <w:rPr>
          <w:rFonts w:ascii="Tahoma" w:cs="Tahoma" w:hAnsi="Tahoma"/>
          <w:sz w:val="24"/>
          <w:szCs w:val="24"/>
        </w:rPr>
        <w:t xml:space="preserve">percent </w:t>
      </w:r>
      <w:r>
        <w:rPr>
          <w:rFonts w:ascii="Tahoma" w:cs="Tahoma" w:hAnsi="Tahoma"/>
          <w:sz w:val="24"/>
          <w:szCs w:val="24"/>
        </w:rPr>
        <w:t>compared with Strategy 1</w:t>
      </w:r>
      <w:r>
        <w:rPr>
          <w:rFonts w:ascii="Tahoma" w:cs="Tahoma" w:hAnsi="Tahoma"/>
          <w:sz w:val="24"/>
          <w:szCs w:val="24"/>
        </w:rPr>
        <w:t xml:space="preserve"> </w:t>
      </w:r>
      <w:r>
        <w:rPr>
          <w:rFonts w:ascii="Tahoma" w:cs="Tahoma" w:hAnsi="Tahoma"/>
          <w:sz w:val="24"/>
          <w:szCs w:val="24"/>
        </w:rPr>
        <w:t xml:space="preserve">and </w:t>
      </w:r>
      <w:r>
        <w:rPr>
          <w:rFonts w:ascii="Tahoma" w:cs="Tahoma" w:hAnsi="Tahoma"/>
          <w:sz w:val="24"/>
          <w:szCs w:val="24"/>
        </w:rPr>
        <w:t xml:space="preserve">Strategy </w:t>
      </w:r>
      <w:r>
        <w:rPr>
          <w:rFonts w:ascii="Tahoma" w:cs="Tahoma" w:hAnsi="Tahoma"/>
          <w:sz w:val="24"/>
          <w:szCs w:val="24"/>
        </w:rPr>
        <w:t>2</w:t>
      </w:r>
      <w:r>
        <w:rPr>
          <w:rFonts w:ascii="Tahoma" w:cs="Tahoma" w:hAnsi="Tahoma"/>
          <w:sz w:val="24"/>
          <w:szCs w:val="24"/>
        </w:rPr>
        <w:t xml:space="preserve">, Strategy </w:t>
      </w:r>
      <w:r>
        <w:rPr>
          <w:rFonts w:ascii="Tahoma" w:cs="Tahoma" w:hAnsi="Tahoma"/>
          <w:sz w:val="24"/>
          <w:szCs w:val="24"/>
        </w:rPr>
        <w:t>3</w:t>
      </w:r>
      <w:r>
        <w:rPr>
          <w:rFonts w:ascii="Tahoma" w:cs="Tahoma" w:hAnsi="Tahoma"/>
          <w:sz w:val="24"/>
          <w:szCs w:val="24"/>
        </w:rPr>
        <w:t xml:space="preserve"> has the highest Costs </w:t>
      </w:r>
      <w:r>
        <w:rPr>
          <w:rFonts w:ascii="Tahoma" w:cs="Tahoma" w:hAnsi="Tahoma"/>
          <w:sz w:val="24"/>
          <w:szCs w:val="24"/>
        </w:rPr>
        <w:t xml:space="preserve">and Risks </w:t>
      </w:r>
      <w:r>
        <w:rPr>
          <w:rFonts w:ascii="Tahoma" w:cs="Tahoma" w:hAnsi="Tahoma"/>
          <w:sz w:val="24"/>
          <w:szCs w:val="24"/>
        </w:rPr>
        <w:t>under debt to GDP</w:t>
      </w:r>
      <w:r>
        <w:rPr>
          <w:rFonts w:ascii="Tahoma" w:cs="Tahoma" w:hAnsi="Tahoma"/>
          <w:sz w:val="24"/>
          <w:szCs w:val="24"/>
        </w:rPr>
        <w:t xml:space="preserve"> ratios </w:t>
      </w:r>
      <w:r>
        <w:rPr>
          <w:rFonts w:ascii="Tahoma" w:cs="Tahoma" w:hAnsi="Tahoma"/>
          <w:sz w:val="24"/>
          <w:szCs w:val="24"/>
        </w:rPr>
        <w:t>over the DMS period of 202</w:t>
      </w:r>
      <w:r>
        <w:rPr>
          <w:rFonts w:ascii="Tahoma" w:cs="Tahoma" w:hAnsi="Tahoma"/>
          <w:sz w:val="24"/>
          <w:szCs w:val="24"/>
        </w:rPr>
        <w:t>6</w:t>
      </w:r>
      <w:r>
        <w:rPr>
          <w:rFonts w:ascii="Tahoma" w:cs="Tahoma" w:hAnsi="Tahoma"/>
          <w:sz w:val="24"/>
          <w:szCs w:val="24"/>
        </w:rPr>
        <w:t>.</w:t>
      </w:r>
    </w:p>
    <w:p>
      <w:pPr>
        <w:pStyle w:val="style0"/>
        <w:spacing w:after="0" w:lineRule="auto" w:line="360"/>
        <w:jc w:val="both"/>
        <w:rPr>
          <w:rFonts w:ascii="Tahoma" w:cs="Tahoma" w:hAnsi="Tahoma"/>
          <w:bCs/>
          <w:iCs/>
          <w:color w:val="000000"/>
          <w:sz w:val="24"/>
          <w:szCs w:val="24"/>
        </w:rPr>
      </w:pPr>
      <w:r>
        <w:rPr/>
        <w:drawing>
          <wp:inline distL="0" distT="0" distB="0" distR="0">
            <wp:extent cx="5943600" cy="2307008"/>
            <wp:effectExtent l="0" t="0" r="0" b="0"/>
            <wp:docPr id="1039"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15" cstate="print"/>
                    <a:srcRect l="0" t="0" r="0" b="0"/>
                    <a:stretch/>
                  </pic:blipFill>
                  <pic:spPr>
                    <a:xfrm rot="0">
                      <a:off x="0" y="0"/>
                      <a:ext cx="5943600" cy="2307008"/>
                    </a:xfrm>
                    <a:prstGeom prst="rect"/>
                    <a:ln>
                      <a:noFill/>
                    </a:ln>
                  </pic:spPr>
                </pic:pic>
              </a:graphicData>
            </a:graphic>
          </wp:inline>
        </w:drawing>
      </w:r>
    </w:p>
    <w:p>
      <w:pPr>
        <w:pStyle w:val="style0"/>
        <w:spacing w:after="0" w:lineRule="auto" w:line="360"/>
        <w:jc w:val="both"/>
        <w:rPr>
          <w:rFonts w:ascii="Tahoma" w:cs="Tahoma" w:hAnsi="Tahoma"/>
          <w:bCs/>
          <w:iCs/>
          <w:color w:val="000000"/>
          <w:sz w:val="24"/>
          <w:szCs w:val="24"/>
        </w:rPr>
      </w:pPr>
    </w:p>
    <w:p>
      <w:pPr>
        <w:pStyle w:val="style179"/>
        <w:numPr>
          <w:ilvl w:val="0"/>
          <w:numId w:val="4"/>
        </w:numPr>
        <w:spacing w:after="0" w:lineRule="auto" w:line="360"/>
        <w:ind w:left="426" w:hanging="426"/>
        <w:jc w:val="both"/>
        <w:rPr>
          <w:rFonts w:ascii="Tahoma" w:cs="Tahoma" w:hAnsi="Tahoma"/>
          <w:bCs/>
          <w:iCs/>
          <w:color w:val="000000"/>
          <w:sz w:val="24"/>
          <w:szCs w:val="24"/>
        </w:rPr>
      </w:pPr>
      <w:r>
        <w:rPr>
          <w:rFonts w:ascii="Tahoma" w:cs="Tahoma" w:hAnsi="Tahoma"/>
          <w:b/>
          <w:iCs/>
          <w:color w:val="000000"/>
          <w:sz w:val="24"/>
          <w:szCs w:val="24"/>
        </w:rPr>
        <w:t xml:space="preserve">Debt Service </w:t>
      </w:r>
      <w:r>
        <w:rPr>
          <w:rFonts w:ascii="Tahoma" w:cs="Tahoma" w:hAnsi="Tahoma"/>
          <w:b/>
          <w:iCs/>
          <w:color w:val="000000"/>
          <w:sz w:val="24"/>
          <w:szCs w:val="24"/>
        </w:rPr>
        <w:t xml:space="preserve">as a share of </w:t>
      </w:r>
      <w:r>
        <w:rPr>
          <w:rFonts w:ascii="Tahoma" w:cs="Tahoma" w:hAnsi="Tahoma"/>
          <w:b/>
          <w:iCs/>
          <w:color w:val="000000"/>
          <w:sz w:val="24"/>
          <w:szCs w:val="24"/>
        </w:rPr>
        <w:t>Revenue:</w:t>
      </w:r>
      <w:r>
        <w:rPr>
          <w:rFonts w:ascii="Tahoma" w:cs="Tahoma" w:hAnsi="Tahoma"/>
          <w:bCs/>
          <w:iCs/>
          <w:color w:val="000000"/>
          <w:sz w:val="24"/>
          <w:szCs w:val="24"/>
        </w:rPr>
        <w:t xml:space="preserve"> </w:t>
      </w:r>
    </w:p>
    <w:p>
      <w:pPr>
        <w:pStyle w:val="style179"/>
        <w:numPr>
          <w:ilvl w:val="0"/>
          <w:numId w:val="7"/>
        </w:numPr>
        <w:spacing w:after="0" w:lineRule="auto" w:line="360"/>
        <w:jc w:val="both"/>
        <w:rPr>
          <w:rFonts w:ascii="Tahoma" w:cs="Tahoma" w:hAnsi="Tahoma"/>
          <w:bCs/>
          <w:iCs/>
          <w:color w:val="000000"/>
          <w:sz w:val="24"/>
          <w:szCs w:val="24"/>
        </w:rPr>
      </w:pPr>
      <w:r>
        <w:rPr>
          <w:rFonts w:ascii="Tahoma" w:cs="Tahoma" w:hAnsi="Tahoma"/>
          <w:bCs/>
          <w:iCs/>
          <w:color w:val="000000"/>
          <w:sz w:val="24"/>
          <w:szCs w:val="24"/>
        </w:rPr>
        <w:t xml:space="preserve">In </w:t>
      </w:r>
      <w:r>
        <w:rPr>
          <w:rFonts w:ascii="Tahoma" w:cs="Tahoma" w:hAnsi="Tahoma"/>
          <w:bCs/>
          <w:iCs/>
          <w:color w:val="000000"/>
          <w:sz w:val="24"/>
          <w:szCs w:val="24"/>
        </w:rPr>
        <w:t xml:space="preserve">terms of Debt Service to Revenue, Strategy </w:t>
      </w:r>
      <w:r>
        <w:rPr>
          <w:rFonts w:ascii="Tahoma" w:cs="Tahoma" w:hAnsi="Tahoma"/>
          <w:bCs/>
          <w:iCs/>
          <w:color w:val="000000"/>
          <w:sz w:val="24"/>
          <w:szCs w:val="24"/>
        </w:rPr>
        <w:t>1</w:t>
      </w:r>
      <w:r>
        <w:rPr>
          <w:rFonts w:ascii="Tahoma" w:cs="Tahoma" w:hAnsi="Tahoma"/>
          <w:bCs/>
          <w:iCs/>
          <w:color w:val="000000"/>
          <w:sz w:val="24"/>
          <w:szCs w:val="24"/>
        </w:rPr>
        <w:t xml:space="preserve"> has the lowest costs of </w:t>
      </w:r>
      <w:r>
        <w:rPr>
          <w:rFonts w:ascii="Tahoma" w:cs="Tahoma" w:hAnsi="Tahoma"/>
          <w:bCs/>
          <w:iCs/>
          <w:color w:val="000000"/>
          <w:sz w:val="24"/>
          <w:szCs w:val="24"/>
        </w:rPr>
        <w:t>8.50</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w:t>
      </w:r>
      <w:r>
        <w:rPr>
          <w:rFonts w:ascii="Tahoma" w:cs="Tahoma" w:hAnsi="Tahoma"/>
          <w:bCs/>
          <w:iCs/>
          <w:color w:val="000000"/>
          <w:sz w:val="24"/>
          <w:szCs w:val="24"/>
        </w:rPr>
        <w:t xml:space="preserve">lowest </w:t>
      </w:r>
      <w:r>
        <w:rPr>
          <w:rFonts w:ascii="Tahoma" w:cs="Tahoma" w:hAnsi="Tahoma"/>
          <w:bCs/>
          <w:iCs/>
          <w:color w:val="000000"/>
          <w:sz w:val="24"/>
          <w:szCs w:val="24"/>
        </w:rPr>
        <w:t xml:space="preserve">risks of </w:t>
      </w:r>
      <w:r>
        <w:rPr>
          <w:rFonts w:ascii="Tahoma" w:cs="Tahoma" w:hAnsi="Tahoma"/>
          <w:bCs/>
          <w:iCs/>
          <w:color w:val="000000"/>
          <w:sz w:val="24"/>
          <w:szCs w:val="24"/>
        </w:rPr>
        <w:t>3.6</w:t>
      </w:r>
      <w:r>
        <w:rPr>
          <w:rFonts w:ascii="Tahoma" w:cs="Tahoma" w:hAnsi="Tahoma"/>
          <w:bCs/>
          <w:iCs/>
          <w:color w:val="000000"/>
          <w:sz w:val="24"/>
          <w:szCs w:val="24"/>
        </w:rPr>
        <w:t>7</w:t>
      </w:r>
      <w:r>
        <w:rPr>
          <w:rFonts w:ascii="Tahoma" w:cs="Tahoma" w:hAnsi="Tahoma"/>
          <w:bCs/>
          <w:iCs/>
          <w:color w:val="000000"/>
          <w:sz w:val="24"/>
          <w:szCs w:val="24"/>
        </w:rPr>
        <w:t xml:space="preserve"> </w:t>
      </w:r>
      <w:r>
        <w:rPr>
          <w:rFonts w:ascii="Tahoma" w:cs="Tahoma" w:hAnsi="Tahoma"/>
          <w:bCs/>
          <w:iCs/>
          <w:color w:val="000000"/>
          <w:sz w:val="24"/>
          <w:szCs w:val="24"/>
        </w:rPr>
        <w:t xml:space="preserve">percent compared to Strategy </w:t>
      </w:r>
      <w:r>
        <w:rPr>
          <w:rFonts w:ascii="Tahoma" w:cs="Tahoma" w:hAnsi="Tahoma"/>
          <w:bCs/>
          <w:iCs/>
          <w:color w:val="000000"/>
          <w:sz w:val="24"/>
          <w:szCs w:val="24"/>
        </w:rPr>
        <w:t>4</w:t>
      </w:r>
      <w:r>
        <w:rPr>
          <w:rFonts w:ascii="Tahoma" w:cs="Tahoma" w:hAnsi="Tahoma"/>
          <w:bCs/>
          <w:iCs/>
          <w:color w:val="000000"/>
          <w:sz w:val="24"/>
          <w:szCs w:val="24"/>
        </w:rPr>
        <w:t xml:space="preserve"> (moderate costs at </w:t>
      </w:r>
      <w:r>
        <w:rPr>
          <w:rFonts w:ascii="Tahoma" w:cs="Tahoma" w:hAnsi="Tahoma"/>
          <w:bCs/>
          <w:iCs/>
          <w:color w:val="000000"/>
          <w:sz w:val="24"/>
          <w:szCs w:val="24"/>
        </w:rPr>
        <w:t>6.93</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risks at </w:t>
      </w:r>
      <w:r>
        <w:rPr>
          <w:rFonts w:ascii="Tahoma" w:cs="Tahoma" w:hAnsi="Tahoma"/>
          <w:bCs/>
          <w:iCs/>
          <w:color w:val="000000"/>
          <w:sz w:val="24"/>
          <w:szCs w:val="24"/>
        </w:rPr>
        <w:t>3.</w:t>
      </w:r>
      <w:r>
        <w:rPr>
          <w:rFonts w:ascii="Tahoma" w:cs="Tahoma" w:hAnsi="Tahoma"/>
          <w:bCs/>
          <w:iCs/>
          <w:color w:val="000000"/>
          <w:sz w:val="24"/>
          <w:szCs w:val="24"/>
        </w:rPr>
        <w:t>49</w:t>
      </w:r>
      <w:r>
        <w:rPr>
          <w:rFonts w:ascii="Tahoma" w:cs="Tahoma" w:hAnsi="Tahoma"/>
          <w:bCs/>
          <w:iCs/>
          <w:color w:val="000000"/>
          <w:sz w:val="24"/>
          <w:szCs w:val="24"/>
        </w:rPr>
        <w:t xml:space="preserve"> </w:t>
      </w:r>
      <w:r>
        <w:rPr>
          <w:rFonts w:ascii="Tahoma" w:cs="Tahoma" w:hAnsi="Tahoma"/>
          <w:bCs/>
          <w:iCs/>
          <w:color w:val="000000"/>
          <w:sz w:val="24"/>
          <w:szCs w:val="24"/>
        </w:rPr>
        <w:t xml:space="preserve">percent), Strategy </w:t>
      </w:r>
      <w:r>
        <w:rPr>
          <w:rFonts w:ascii="Tahoma" w:cs="Tahoma" w:hAnsi="Tahoma"/>
          <w:bCs/>
          <w:iCs/>
          <w:color w:val="000000"/>
          <w:sz w:val="24"/>
          <w:szCs w:val="24"/>
        </w:rPr>
        <w:t>2</w:t>
      </w:r>
      <w:r>
        <w:rPr>
          <w:rFonts w:ascii="Tahoma" w:cs="Tahoma" w:hAnsi="Tahoma"/>
          <w:bCs/>
          <w:iCs/>
          <w:color w:val="000000"/>
          <w:sz w:val="24"/>
          <w:szCs w:val="24"/>
        </w:rPr>
        <w:t xml:space="preserve"> (moderate costs at </w:t>
      </w:r>
      <w:r>
        <w:rPr>
          <w:rFonts w:ascii="Tahoma" w:cs="Tahoma" w:hAnsi="Tahoma"/>
          <w:bCs/>
          <w:iCs/>
          <w:color w:val="000000"/>
          <w:sz w:val="24"/>
          <w:szCs w:val="24"/>
        </w:rPr>
        <w:t>9.</w:t>
      </w:r>
      <w:r>
        <w:rPr>
          <w:rFonts w:ascii="Tahoma" w:cs="Tahoma" w:hAnsi="Tahoma"/>
          <w:bCs/>
          <w:iCs/>
          <w:color w:val="000000"/>
          <w:sz w:val="24"/>
          <w:szCs w:val="24"/>
        </w:rPr>
        <w:t>31</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lowest risks at </w:t>
      </w:r>
      <w:r>
        <w:rPr>
          <w:rFonts w:ascii="Tahoma" w:cs="Tahoma" w:hAnsi="Tahoma"/>
          <w:bCs/>
          <w:iCs/>
          <w:color w:val="000000"/>
          <w:sz w:val="24"/>
          <w:szCs w:val="24"/>
        </w:rPr>
        <w:t>3.</w:t>
      </w:r>
      <w:r>
        <w:rPr>
          <w:rFonts w:ascii="Tahoma" w:cs="Tahoma" w:hAnsi="Tahoma"/>
          <w:bCs/>
          <w:iCs/>
          <w:color w:val="000000"/>
          <w:sz w:val="24"/>
          <w:szCs w:val="24"/>
        </w:rPr>
        <w:t>76</w:t>
      </w:r>
      <w:r>
        <w:rPr>
          <w:rFonts w:ascii="Tahoma" w:cs="Tahoma" w:hAnsi="Tahoma"/>
          <w:bCs/>
          <w:iCs/>
          <w:color w:val="000000"/>
          <w:sz w:val="24"/>
          <w:szCs w:val="24"/>
        </w:rPr>
        <w:t xml:space="preserve"> </w:t>
      </w:r>
      <w:r>
        <w:rPr>
          <w:rFonts w:ascii="Tahoma" w:cs="Tahoma" w:hAnsi="Tahoma"/>
          <w:bCs/>
          <w:iCs/>
          <w:color w:val="000000"/>
          <w:sz w:val="24"/>
          <w:szCs w:val="24"/>
        </w:rPr>
        <w:t>percent) and S</w:t>
      </w:r>
      <w:r>
        <w:rPr>
          <w:rFonts w:ascii="Tahoma" w:cs="Tahoma" w:hAnsi="Tahoma"/>
          <w:bCs/>
          <w:iCs/>
          <w:color w:val="000000"/>
          <w:sz w:val="24"/>
          <w:szCs w:val="24"/>
        </w:rPr>
        <w:t>3</w:t>
      </w:r>
      <w:r>
        <w:rPr>
          <w:rFonts w:ascii="Tahoma" w:cs="Tahoma" w:hAnsi="Tahoma"/>
          <w:bCs/>
          <w:iCs/>
          <w:color w:val="000000"/>
          <w:sz w:val="24"/>
          <w:szCs w:val="24"/>
        </w:rPr>
        <w:t xml:space="preserve"> has highest costs of </w:t>
      </w:r>
      <w:r>
        <w:rPr>
          <w:rFonts w:ascii="Tahoma" w:cs="Tahoma" w:hAnsi="Tahoma"/>
          <w:bCs/>
          <w:iCs/>
          <w:color w:val="000000"/>
          <w:sz w:val="24"/>
          <w:szCs w:val="24"/>
        </w:rPr>
        <w:t>9.20</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risks at </w:t>
      </w:r>
      <w:r>
        <w:rPr>
          <w:rFonts w:ascii="Tahoma" w:cs="Tahoma" w:hAnsi="Tahoma"/>
          <w:bCs/>
          <w:iCs/>
          <w:color w:val="000000"/>
          <w:sz w:val="24"/>
          <w:szCs w:val="24"/>
        </w:rPr>
        <w:t>3.</w:t>
      </w:r>
      <w:r>
        <w:rPr>
          <w:rFonts w:ascii="Tahoma" w:cs="Tahoma" w:hAnsi="Tahoma"/>
          <w:bCs/>
          <w:iCs/>
          <w:color w:val="000000"/>
          <w:sz w:val="24"/>
          <w:szCs w:val="24"/>
        </w:rPr>
        <w:t>75</w:t>
      </w:r>
      <w:r>
        <w:rPr>
          <w:rFonts w:ascii="Tahoma" w:cs="Tahoma" w:hAnsi="Tahoma"/>
          <w:bCs/>
          <w:iCs/>
          <w:color w:val="000000"/>
          <w:sz w:val="24"/>
          <w:szCs w:val="24"/>
        </w:rPr>
        <w:t xml:space="preserve"> </w:t>
      </w:r>
      <w:r>
        <w:rPr>
          <w:rFonts w:ascii="Tahoma" w:cs="Tahoma" w:hAnsi="Tahoma"/>
          <w:bCs/>
          <w:iCs/>
          <w:color w:val="000000"/>
          <w:sz w:val="24"/>
          <w:szCs w:val="24"/>
        </w:rPr>
        <w:t>percent), respectively, as at end of the strategic period of 202</w:t>
      </w:r>
      <w:r>
        <w:rPr>
          <w:rFonts w:ascii="Tahoma" w:cs="Tahoma" w:hAnsi="Tahoma"/>
          <w:bCs/>
          <w:iCs/>
          <w:color w:val="000000"/>
          <w:sz w:val="24"/>
          <w:szCs w:val="24"/>
        </w:rPr>
        <w:t>6</w:t>
      </w:r>
    </w:p>
    <w:p>
      <w:pPr>
        <w:pStyle w:val="style179"/>
        <w:numPr>
          <w:ilvl w:val="0"/>
          <w:numId w:val="7"/>
        </w:numPr>
        <w:spacing w:after="0" w:lineRule="auto" w:line="360"/>
        <w:jc w:val="both"/>
        <w:rPr>
          <w:rFonts w:ascii="Tahoma" w:cs="Tahoma" w:hAnsi="Tahoma"/>
          <w:bCs/>
          <w:iCs/>
          <w:color w:val="000000"/>
          <w:sz w:val="24"/>
          <w:szCs w:val="24"/>
        </w:rPr>
      </w:pPr>
      <w:r>
        <w:rPr>
          <w:rFonts w:ascii="Tahoma" w:cs="Tahoma" w:hAnsi="Tahoma"/>
          <w:bCs/>
          <w:iCs/>
          <w:color w:val="000000"/>
          <w:sz w:val="24"/>
          <w:szCs w:val="24"/>
        </w:rPr>
        <w:t>S</w:t>
      </w:r>
      <w:r>
        <w:rPr>
          <w:rFonts w:ascii="Tahoma" w:cs="Tahoma" w:hAnsi="Tahoma"/>
          <w:bCs/>
          <w:iCs/>
          <w:color w:val="000000"/>
          <w:sz w:val="24"/>
          <w:szCs w:val="24"/>
        </w:rPr>
        <w:t>4</w:t>
      </w:r>
      <w:r>
        <w:rPr>
          <w:rFonts w:ascii="Tahoma" w:cs="Tahoma" w:hAnsi="Tahoma"/>
          <w:bCs/>
          <w:iCs/>
          <w:color w:val="000000"/>
          <w:sz w:val="24"/>
          <w:szCs w:val="24"/>
        </w:rPr>
        <w:t xml:space="preserve"> has the lowest cost and risks of </w:t>
      </w:r>
      <w:r>
        <w:rPr>
          <w:rFonts w:ascii="Tahoma" w:cs="Tahoma" w:hAnsi="Tahoma"/>
          <w:bCs/>
          <w:iCs/>
          <w:color w:val="000000"/>
          <w:sz w:val="24"/>
          <w:szCs w:val="24"/>
        </w:rPr>
        <w:t>6.93</w:t>
      </w:r>
      <w:r>
        <w:rPr>
          <w:rFonts w:ascii="Tahoma" w:cs="Tahoma" w:hAnsi="Tahoma"/>
          <w:bCs/>
          <w:iCs/>
          <w:color w:val="000000"/>
          <w:sz w:val="24"/>
          <w:szCs w:val="24"/>
        </w:rPr>
        <w:t xml:space="preserve"> percent </w:t>
      </w:r>
      <w:r>
        <w:rPr>
          <w:rFonts w:ascii="Tahoma" w:cs="Tahoma" w:hAnsi="Tahoma"/>
          <w:bCs/>
          <w:iCs/>
          <w:color w:val="000000"/>
          <w:sz w:val="24"/>
          <w:szCs w:val="24"/>
        </w:rPr>
        <w:t xml:space="preserve">and </w:t>
      </w:r>
      <w:r>
        <w:rPr>
          <w:rFonts w:ascii="Tahoma" w:cs="Tahoma" w:hAnsi="Tahoma"/>
          <w:bCs/>
          <w:iCs/>
          <w:color w:val="000000"/>
          <w:sz w:val="24"/>
          <w:szCs w:val="24"/>
        </w:rPr>
        <w:t>3.</w:t>
      </w:r>
      <w:r>
        <w:rPr>
          <w:rFonts w:ascii="Tahoma" w:cs="Tahoma" w:hAnsi="Tahoma"/>
          <w:bCs/>
          <w:iCs/>
          <w:color w:val="000000"/>
          <w:sz w:val="24"/>
          <w:szCs w:val="24"/>
        </w:rPr>
        <w:t>49</w:t>
      </w:r>
      <w:r>
        <w:rPr>
          <w:rFonts w:ascii="Tahoma" w:cs="Tahoma" w:hAnsi="Tahoma"/>
          <w:bCs/>
          <w:iCs/>
          <w:color w:val="000000"/>
          <w:sz w:val="24"/>
          <w:szCs w:val="24"/>
        </w:rPr>
        <w:t xml:space="preserve"> </w:t>
      </w:r>
      <w:r>
        <w:rPr>
          <w:rFonts w:ascii="Tahoma" w:cs="Tahoma" w:hAnsi="Tahoma"/>
          <w:bCs/>
          <w:iCs/>
          <w:color w:val="000000"/>
          <w:sz w:val="24"/>
          <w:szCs w:val="24"/>
        </w:rPr>
        <w:t xml:space="preserve">percent </w:t>
      </w:r>
      <w:r>
        <w:rPr>
          <w:rFonts w:ascii="Tahoma" w:cs="Tahoma" w:hAnsi="Tahoma"/>
          <w:bCs/>
          <w:iCs/>
          <w:color w:val="000000"/>
          <w:sz w:val="24"/>
          <w:szCs w:val="24"/>
        </w:rPr>
        <w:t xml:space="preserve">and </w:t>
      </w:r>
      <w:r>
        <w:rPr>
          <w:rFonts w:ascii="Tahoma" w:cs="Tahoma" w:hAnsi="Tahoma"/>
          <w:bCs/>
          <w:iCs/>
          <w:color w:val="000000"/>
          <w:sz w:val="24"/>
          <w:szCs w:val="24"/>
        </w:rPr>
        <w:t xml:space="preserve">Strategy </w:t>
      </w:r>
      <w:r>
        <w:rPr>
          <w:rFonts w:ascii="Tahoma" w:cs="Tahoma" w:hAnsi="Tahoma"/>
          <w:bCs/>
          <w:iCs/>
          <w:color w:val="000000"/>
          <w:sz w:val="24"/>
          <w:szCs w:val="24"/>
        </w:rPr>
        <w:t>2</w:t>
      </w:r>
      <w:r>
        <w:rPr>
          <w:rFonts w:ascii="Tahoma" w:cs="Tahoma" w:hAnsi="Tahoma"/>
          <w:bCs/>
          <w:iCs/>
          <w:color w:val="000000"/>
          <w:sz w:val="24"/>
          <w:szCs w:val="24"/>
        </w:rPr>
        <w:t xml:space="preserve"> has the </w:t>
      </w:r>
      <w:r>
        <w:rPr>
          <w:rFonts w:ascii="Tahoma" w:cs="Tahoma" w:hAnsi="Tahoma"/>
          <w:bCs/>
          <w:iCs/>
          <w:color w:val="000000"/>
          <w:sz w:val="24"/>
          <w:szCs w:val="24"/>
        </w:rPr>
        <w:t xml:space="preserve">highest costs and </w:t>
      </w:r>
      <w:r>
        <w:rPr>
          <w:rFonts w:ascii="Tahoma" w:cs="Tahoma" w:hAnsi="Tahoma"/>
          <w:bCs/>
          <w:iCs/>
          <w:color w:val="000000"/>
          <w:sz w:val="24"/>
          <w:szCs w:val="24"/>
        </w:rPr>
        <w:t xml:space="preserve">risks </w:t>
      </w:r>
      <w:r>
        <w:rPr>
          <w:rFonts w:ascii="Tahoma" w:cs="Tahoma" w:hAnsi="Tahoma"/>
          <w:bCs/>
          <w:iCs/>
          <w:color w:val="000000"/>
          <w:sz w:val="24"/>
          <w:szCs w:val="24"/>
        </w:rPr>
        <w:t xml:space="preserve">of </w:t>
      </w:r>
      <w:r>
        <w:rPr>
          <w:rFonts w:ascii="Tahoma" w:cs="Tahoma" w:hAnsi="Tahoma"/>
          <w:bCs/>
          <w:iCs/>
          <w:color w:val="000000"/>
          <w:sz w:val="24"/>
          <w:szCs w:val="24"/>
        </w:rPr>
        <w:t>9.31</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w:t>
      </w:r>
      <w:r>
        <w:rPr>
          <w:rFonts w:ascii="Tahoma" w:cs="Tahoma" w:hAnsi="Tahoma"/>
          <w:bCs/>
          <w:iCs/>
          <w:color w:val="000000"/>
          <w:sz w:val="24"/>
          <w:szCs w:val="24"/>
        </w:rPr>
        <w:t>3.</w:t>
      </w:r>
      <w:r>
        <w:rPr>
          <w:rFonts w:ascii="Tahoma" w:cs="Tahoma" w:hAnsi="Tahoma"/>
          <w:bCs/>
          <w:iCs/>
          <w:color w:val="000000"/>
          <w:sz w:val="24"/>
          <w:szCs w:val="24"/>
        </w:rPr>
        <w:t>76</w:t>
      </w:r>
      <w:r>
        <w:rPr>
          <w:rFonts w:ascii="Tahoma" w:cs="Tahoma" w:hAnsi="Tahoma"/>
          <w:bCs/>
          <w:iCs/>
          <w:color w:val="000000"/>
          <w:sz w:val="24"/>
          <w:szCs w:val="24"/>
        </w:rPr>
        <w:t xml:space="preserve"> </w:t>
      </w:r>
      <w:r>
        <w:rPr>
          <w:rFonts w:ascii="Tahoma" w:cs="Tahoma" w:hAnsi="Tahoma"/>
          <w:bCs/>
          <w:iCs/>
          <w:color w:val="000000"/>
          <w:sz w:val="24"/>
          <w:szCs w:val="24"/>
        </w:rPr>
        <w:t>percent</w:t>
      </w:r>
      <w:r>
        <w:rPr>
          <w:rFonts w:ascii="Tahoma" w:cs="Tahoma" w:hAnsi="Tahoma"/>
          <w:bCs/>
          <w:iCs/>
          <w:color w:val="000000"/>
          <w:sz w:val="24"/>
          <w:szCs w:val="24"/>
        </w:rPr>
        <w:t xml:space="preserve">, compared Strategy </w:t>
      </w:r>
      <w:r>
        <w:rPr>
          <w:rFonts w:ascii="Tahoma" w:cs="Tahoma" w:hAnsi="Tahoma"/>
          <w:bCs/>
          <w:iCs/>
          <w:color w:val="000000"/>
          <w:sz w:val="24"/>
          <w:szCs w:val="24"/>
        </w:rPr>
        <w:t>1</w:t>
      </w:r>
      <w:r>
        <w:rPr>
          <w:rFonts w:ascii="Tahoma" w:cs="Tahoma" w:hAnsi="Tahoma"/>
          <w:bCs/>
          <w:iCs/>
          <w:color w:val="000000"/>
          <w:sz w:val="24"/>
          <w:szCs w:val="24"/>
        </w:rPr>
        <w:t xml:space="preserve"> </w:t>
      </w:r>
      <w:r>
        <w:rPr>
          <w:rFonts w:ascii="Tahoma" w:cs="Tahoma" w:hAnsi="Tahoma"/>
          <w:bCs/>
          <w:iCs/>
          <w:color w:val="000000"/>
          <w:sz w:val="24"/>
          <w:szCs w:val="24"/>
        </w:rPr>
        <w:t xml:space="preserve">and Strategy </w:t>
      </w:r>
      <w:r>
        <w:rPr>
          <w:rFonts w:ascii="Tahoma" w:cs="Tahoma" w:hAnsi="Tahoma"/>
          <w:bCs/>
          <w:iCs/>
          <w:color w:val="000000"/>
          <w:sz w:val="24"/>
          <w:szCs w:val="24"/>
        </w:rPr>
        <w:t>3</w:t>
      </w:r>
      <w:r>
        <w:rPr>
          <w:rFonts w:ascii="Tahoma" w:cs="Tahoma" w:hAnsi="Tahoma"/>
          <w:bCs/>
          <w:iCs/>
          <w:color w:val="000000"/>
          <w:sz w:val="24"/>
          <w:szCs w:val="24"/>
        </w:rPr>
        <w:t xml:space="preserve"> </w:t>
      </w:r>
      <w:r>
        <w:rPr>
          <w:rFonts w:ascii="Tahoma" w:cs="Tahoma" w:hAnsi="Tahoma"/>
          <w:bCs/>
          <w:iCs/>
          <w:color w:val="000000"/>
          <w:sz w:val="24"/>
          <w:szCs w:val="24"/>
        </w:rPr>
        <w:t>that estimated to have moderate costs and Moderate during the projection period</w:t>
      </w:r>
      <w:r>
        <w:rPr>
          <w:rFonts w:ascii="Tahoma" w:cs="Tahoma" w:hAnsi="Tahoma"/>
          <w:bCs/>
          <w:iCs/>
          <w:color w:val="000000"/>
          <w:sz w:val="24"/>
          <w:szCs w:val="24"/>
        </w:rPr>
        <w:t xml:space="preserve"> of 2026</w:t>
      </w:r>
      <w:r>
        <w:rPr>
          <w:rFonts w:ascii="Tahoma" w:cs="Tahoma" w:hAnsi="Tahoma"/>
          <w:bCs/>
          <w:iCs/>
          <w:color w:val="000000"/>
          <w:sz w:val="24"/>
          <w:szCs w:val="24"/>
        </w:rPr>
        <w:t>.</w:t>
      </w:r>
      <w:r>
        <w:rPr>
          <w:rFonts w:ascii="Tahoma" w:cs="Tahoma" w:hAnsi="Tahoma"/>
          <w:bCs/>
          <w:iCs/>
          <w:color w:val="000000"/>
          <w:sz w:val="24"/>
          <w:szCs w:val="24"/>
        </w:rPr>
        <w:t xml:space="preserve"> </w:t>
      </w:r>
    </w:p>
    <w:p>
      <w:pPr>
        <w:pStyle w:val="style0"/>
        <w:spacing w:after="0" w:lineRule="auto" w:line="360"/>
        <w:jc w:val="both"/>
        <w:rPr>
          <w:rFonts w:ascii="Tahoma" w:cs="Tahoma" w:hAnsi="Tahoma"/>
          <w:bCs/>
          <w:iCs/>
          <w:color w:val="000000"/>
          <w:sz w:val="24"/>
          <w:szCs w:val="24"/>
        </w:rPr>
      </w:pPr>
      <w:r>
        <w:rPr/>
        <w:drawing>
          <wp:inline distL="0" distT="0" distB="0" distR="0">
            <wp:extent cx="5943600" cy="2307008"/>
            <wp:effectExtent l="0" t="0" r="0" b="0"/>
            <wp:docPr id="1040"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9"/>
                    <pic:cNvPicPr/>
                  </pic:nvPicPr>
                  <pic:blipFill>
                    <a:blip r:embed="rId16" cstate="print"/>
                    <a:srcRect l="0" t="0" r="0" b="0"/>
                    <a:stretch/>
                  </pic:blipFill>
                  <pic:spPr>
                    <a:xfrm rot="0">
                      <a:off x="0" y="0"/>
                      <a:ext cx="5943600" cy="2307008"/>
                    </a:xfrm>
                    <a:prstGeom prst="rect"/>
                    <a:ln>
                      <a:noFill/>
                    </a:ln>
                  </pic:spPr>
                </pic:pic>
              </a:graphicData>
            </a:graphic>
          </wp:inline>
        </w:drawing>
      </w:r>
    </w:p>
    <w:p>
      <w:pPr>
        <w:pStyle w:val="style0"/>
        <w:spacing w:after="0" w:lineRule="auto" w:line="360"/>
        <w:jc w:val="both"/>
        <w:rPr>
          <w:rFonts w:ascii="Tahoma" w:cs="Tahoma" w:hAnsi="Tahoma"/>
          <w:bCs/>
          <w:iCs/>
          <w:color w:val="000000"/>
          <w:sz w:val="24"/>
          <w:szCs w:val="24"/>
        </w:rPr>
      </w:pPr>
    </w:p>
    <w:p>
      <w:pPr>
        <w:pStyle w:val="style179"/>
        <w:numPr>
          <w:ilvl w:val="0"/>
          <w:numId w:val="4"/>
        </w:numPr>
        <w:spacing w:after="0" w:lineRule="auto" w:line="360"/>
        <w:ind w:left="426" w:hanging="426"/>
        <w:jc w:val="both"/>
        <w:rPr>
          <w:rFonts w:ascii="Tahoma" w:cs="Tahoma" w:hAnsi="Tahoma"/>
          <w:bCs/>
          <w:iCs/>
          <w:color w:val="000000"/>
          <w:sz w:val="24"/>
          <w:szCs w:val="24"/>
        </w:rPr>
      </w:pPr>
      <w:r>
        <w:rPr>
          <w:rFonts w:ascii="Tahoma" w:cs="Tahoma" w:hAnsi="Tahoma"/>
          <w:b/>
          <w:iCs/>
          <w:color w:val="000000"/>
          <w:sz w:val="24"/>
          <w:szCs w:val="24"/>
        </w:rPr>
        <w:t xml:space="preserve">Interest </w:t>
      </w:r>
      <w:r>
        <w:rPr>
          <w:rFonts w:ascii="Tahoma" w:cs="Tahoma" w:hAnsi="Tahoma"/>
          <w:b/>
          <w:iCs/>
          <w:color w:val="000000"/>
          <w:sz w:val="24"/>
          <w:szCs w:val="24"/>
        </w:rPr>
        <w:t>as a share of Revenue</w:t>
      </w:r>
      <w:r>
        <w:rPr>
          <w:rFonts w:ascii="Tahoma" w:cs="Tahoma" w:hAnsi="Tahoma"/>
          <w:bCs/>
          <w:iCs/>
          <w:color w:val="000000"/>
          <w:sz w:val="24"/>
          <w:szCs w:val="24"/>
        </w:rPr>
        <w:t xml:space="preserve"> </w:t>
      </w:r>
    </w:p>
    <w:p>
      <w:pPr>
        <w:pStyle w:val="style179"/>
        <w:numPr>
          <w:ilvl w:val="0"/>
          <w:numId w:val="6"/>
        </w:numPr>
        <w:spacing w:after="0" w:lineRule="auto" w:line="360"/>
        <w:ind w:left="709" w:hanging="283"/>
        <w:jc w:val="both"/>
        <w:rPr>
          <w:rFonts w:ascii="Tahoma" w:cs="Tahoma" w:hAnsi="Tahoma"/>
          <w:bCs/>
          <w:iCs/>
          <w:color w:val="000000"/>
          <w:sz w:val="24"/>
          <w:szCs w:val="24"/>
        </w:rPr>
      </w:pPr>
      <w:r>
        <w:rPr>
          <w:rFonts w:ascii="Tahoma" w:cs="Tahoma" w:hAnsi="Tahoma"/>
          <w:bCs/>
          <w:iCs/>
          <w:color w:val="000000"/>
          <w:sz w:val="24"/>
          <w:szCs w:val="24"/>
        </w:rPr>
        <w:t>S</w:t>
      </w:r>
      <w:r>
        <w:rPr>
          <w:rFonts w:ascii="Tahoma" w:cs="Tahoma" w:hAnsi="Tahoma"/>
          <w:bCs/>
          <w:iCs/>
          <w:color w:val="000000"/>
          <w:sz w:val="24"/>
          <w:szCs w:val="24"/>
        </w:rPr>
        <w:t>4</w:t>
      </w:r>
      <w:r>
        <w:rPr>
          <w:rFonts w:ascii="Tahoma" w:cs="Tahoma" w:hAnsi="Tahoma"/>
          <w:bCs/>
          <w:iCs/>
          <w:color w:val="000000"/>
          <w:sz w:val="24"/>
          <w:szCs w:val="24"/>
        </w:rPr>
        <w:t xml:space="preserve"> is the least costly </w:t>
      </w:r>
      <w:r>
        <w:rPr>
          <w:rFonts w:ascii="Tahoma" w:cs="Tahoma" w:hAnsi="Tahoma"/>
          <w:bCs/>
          <w:iCs/>
          <w:color w:val="000000"/>
          <w:sz w:val="24"/>
          <w:szCs w:val="24"/>
        </w:rPr>
        <w:t>and risky w</w:t>
      </w:r>
      <w:r>
        <w:rPr>
          <w:rFonts w:ascii="Tahoma" w:cs="Tahoma" w:hAnsi="Tahoma"/>
          <w:bCs/>
          <w:iCs/>
          <w:color w:val="000000"/>
          <w:sz w:val="24"/>
          <w:szCs w:val="24"/>
        </w:rPr>
        <w:t xml:space="preserve">ith regards </w:t>
      </w:r>
      <w:r>
        <w:rPr>
          <w:rFonts w:ascii="Tahoma" w:cs="Tahoma" w:hAnsi="Tahoma"/>
          <w:bCs/>
          <w:iCs/>
          <w:color w:val="000000"/>
          <w:sz w:val="24"/>
          <w:szCs w:val="24"/>
        </w:rPr>
        <w:t xml:space="preserve">Interest </w:t>
      </w:r>
      <w:r>
        <w:rPr>
          <w:rFonts w:ascii="Tahoma" w:cs="Tahoma" w:hAnsi="Tahoma"/>
          <w:bCs/>
          <w:iCs/>
          <w:color w:val="000000"/>
          <w:sz w:val="24"/>
          <w:szCs w:val="24"/>
        </w:rPr>
        <w:t>to Government revenues</w:t>
      </w:r>
      <w:r>
        <w:rPr>
          <w:rFonts w:ascii="Tahoma" w:cs="Tahoma" w:hAnsi="Tahoma"/>
          <w:bCs/>
          <w:iCs/>
          <w:color w:val="000000"/>
          <w:sz w:val="24"/>
          <w:szCs w:val="24"/>
        </w:rPr>
        <w:t xml:space="preserve">, which </w:t>
      </w:r>
      <w:r>
        <w:rPr>
          <w:rFonts w:ascii="Tahoma" w:cs="Tahoma" w:hAnsi="Tahoma"/>
          <w:bCs/>
          <w:iCs/>
          <w:color w:val="000000"/>
          <w:sz w:val="24"/>
          <w:szCs w:val="24"/>
        </w:rPr>
        <w:t xml:space="preserve">estimated at </w:t>
      </w:r>
      <w:r>
        <w:rPr>
          <w:rFonts w:ascii="Tahoma" w:cs="Tahoma" w:hAnsi="Tahoma"/>
          <w:bCs/>
          <w:iCs/>
          <w:color w:val="000000"/>
          <w:sz w:val="24"/>
          <w:szCs w:val="24"/>
        </w:rPr>
        <w:t>3.98</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w:t>
      </w:r>
      <w:r>
        <w:rPr>
          <w:rFonts w:ascii="Tahoma" w:cs="Tahoma" w:hAnsi="Tahoma"/>
          <w:bCs/>
          <w:iCs/>
          <w:color w:val="000000"/>
          <w:sz w:val="24"/>
          <w:szCs w:val="24"/>
        </w:rPr>
        <w:t>3.</w:t>
      </w:r>
      <w:r>
        <w:rPr>
          <w:rFonts w:ascii="Tahoma" w:cs="Tahoma" w:hAnsi="Tahoma"/>
          <w:bCs/>
          <w:iCs/>
          <w:color w:val="000000"/>
          <w:sz w:val="24"/>
          <w:szCs w:val="24"/>
        </w:rPr>
        <w:t>17</w:t>
      </w:r>
      <w:r>
        <w:rPr>
          <w:rFonts w:ascii="Tahoma" w:cs="Tahoma" w:hAnsi="Tahoma"/>
          <w:bCs/>
          <w:iCs/>
          <w:color w:val="000000"/>
          <w:sz w:val="24"/>
          <w:szCs w:val="24"/>
        </w:rPr>
        <w:t xml:space="preserve"> </w:t>
      </w:r>
      <w:r>
        <w:rPr>
          <w:rFonts w:ascii="Tahoma" w:cs="Tahoma" w:hAnsi="Tahoma"/>
          <w:bCs/>
          <w:iCs/>
          <w:color w:val="000000"/>
          <w:sz w:val="24"/>
          <w:szCs w:val="24"/>
        </w:rPr>
        <w:t xml:space="preserve">percent, Strategy </w:t>
      </w:r>
      <w:r>
        <w:rPr>
          <w:rFonts w:ascii="Tahoma" w:cs="Tahoma" w:hAnsi="Tahoma"/>
          <w:bCs/>
          <w:iCs/>
          <w:color w:val="000000"/>
          <w:sz w:val="24"/>
          <w:szCs w:val="24"/>
        </w:rPr>
        <w:t>1</w:t>
      </w:r>
      <w:r>
        <w:rPr>
          <w:rFonts w:ascii="Tahoma" w:cs="Tahoma" w:hAnsi="Tahoma"/>
          <w:bCs/>
          <w:iCs/>
          <w:color w:val="000000"/>
          <w:sz w:val="24"/>
          <w:szCs w:val="24"/>
        </w:rPr>
        <w:t xml:space="preserve"> (costs </w:t>
      </w:r>
      <w:r>
        <w:rPr>
          <w:rFonts w:ascii="Tahoma" w:cs="Tahoma" w:hAnsi="Tahoma"/>
          <w:bCs/>
          <w:iCs/>
          <w:color w:val="000000"/>
          <w:sz w:val="24"/>
          <w:szCs w:val="24"/>
        </w:rPr>
        <w:t>4.50</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risks </w:t>
      </w:r>
      <w:r>
        <w:rPr>
          <w:rFonts w:ascii="Tahoma" w:cs="Tahoma" w:hAnsi="Tahoma"/>
          <w:bCs/>
          <w:iCs/>
          <w:color w:val="000000"/>
          <w:sz w:val="24"/>
          <w:szCs w:val="24"/>
        </w:rPr>
        <w:t>3.</w:t>
      </w:r>
      <w:r>
        <w:rPr>
          <w:rFonts w:ascii="Tahoma" w:cs="Tahoma" w:hAnsi="Tahoma"/>
          <w:bCs/>
          <w:iCs/>
          <w:color w:val="000000"/>
          <w:sz w:val="24"/>
          <w:szCs w:val="24"/>
        </w:rPr>
        <w:t>22</w:t>
      </w:r>
      <w:r>
        <w:rPr>
          <w:rFonts w:ascii="Tahoma" w:cs="Tahoma" w:hAnsi="Tahoma"/>
          <w:bCs/>
          <w:iCs/>
          <w:color w:val="000000"/>
          <w:sz w:val="24"/>
          <w:szCs w:val="24"/>
        </w:rPr>
        <w:t xml:space="preserve"> percent), Strategy </w:t>
      </w:r>
      <w:r>
        <w:rPr>
          <w:rFonts w:ascii="Tahoma" w:cs="Tahoma" w:hAnsi="Tahoma"/>
          <w:bCs/>
          <w:iCs/>
          <w:color w:val="000000"/>
          <w:sz w:val="24"/>
          <w:szCs w:val="24"/>
        </w:rPr>
        <w:t>2</w:t>
      </w:r>
      <w:r>
        <w:rPr>
          <w:rFonts w:ascii="Tahoma" w:cs="Tahoma" w:hAnsi="Tahoma"/>
          <w:bCs/>
          <w:iCs/>
          <w:color w:val="000000"/>
          <w:sz w:val="24"/>
          <w:szCs w:val="24"/>
        </w:rPr>
        <w:t xml:space="preserve"> (</w:t>
      </w:r>
      <w:r>
        <w:rPr>
          <w:rFonts w:ascii="Tahoma" w:cs="Tahoma" w:hAnsi="Tahoma"/>
          <w:bCs/>
          <w:iCs/>
          <w:color w:val="000000"/>
          <w:sz w:val="24"/>
          <w:szCs w:val="24"/>
        </w:rPr>
        <w:t>4.77</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risks </w:t>
      </w:r>
      <w:r>
        <w:rPr>
          <w:rFonts w:ascii="Tahoma" w:cs="Tahoma" w:hAnsi="Tahoma"/>
          <w:bCs/>
          <w:iCs/>
          <w:color w:val="000000"/>
          <w:sz w:val="24"/>
          <w:szCs w:val="24"/>
        </w:rPr>
        <w:t>3.</w:t>
      </w:r>
      <w:r>
        <w:rPr>
          <w:rFonts w:ascii="Tahoma" w:cs="Tahoma" w:hAnsi="Tahoma"/>
          <w:bCs/>
          <w:iCs/>
          <w:color w:val="000000"/>
          <w:sz w:val="24"/>
          <w:szCs w:val="24"/>
        </w:rPr>
        <w:t>25</w:t>
      </w:r>
      <w:r>
        <w:rPr>
          <w:rFonts w:ascii="Tahoma" w:cs="Tahoma" w:hAnsi="Tahoma"/>
          <w:bCs/>
          <w:iCs/>
          <w:color w:val="000000"/>
          <w:sz w:val="24"/>
          <w:szCs w:val="24"/>
        </w:rPr>
        <w:t xml:space="preserve"> </w:t>
      </w:r>
      <w:r>
        <w:rPr>
          <w:rFonts w:ascii="Tahoma" w:cs="Tahoma" w:hAnsi="Tahoma"/>
          <w:bCs/>
          <w:iCs/>
          <w:color w:val="000000"/>
          <w:sz w:val="24"/>
          <w:szCs w:val="24"/>
        </w:rPr>
        <w:t xml:space="preserve">percent), and Strategy </w:t>
      </w:r>
      <w:r>
        <w:rPr>
          <w:rFonts w:ascii="Tahoma" w:cs="Tahoma" w:hAnsi="Tahoma"/>
          <w:bCs/>
          <w:iCs/>
          <w:color w:val="000000"/>
          <w:sz w:val="24"/>
          <w:szCs w:val="24"/>
        </w:rPr>
        <w:t>3</w:t>
      </w:r>
      <w:r>
        <w:rPr>
          <w:rFonts w:ascii="Tahoma" w:cs="Tahoma" w:hAnsi="Tahoma"/>
          <w:bCs/>
          <w:iCs/>
          <w:color w:val="000000"/>
          <w:sz w:val="24"/>
          <w:szCs w:val="24"/>
        </w:rPr>
        <w:t xml:space="preserve"> (costs </w:t>
      </w:r>
      <w:r>
        <w:rPr>
          <w:rFonts w:ascii="Tahoma" w:cs="Tahoma" w:hAnsi="Tahoma"/>
          <w:bCs/>
          <w:iCs/>
          <w:color w:val="000000"/>
          <w:sz w:val="24"/>
          <w:szCs w:val="24"/>
        </w:rPr>
        <w:t xml:space="preserve">4.83 </w:t>
      </w:r>
      <w:r>
        <w:rPr>
          <w:rFonts w:ascii="Tahoma" w:cs="Tahoma" w:hAnsi="Tahoma"/>
          <w:bCs/>
          <w:iCs/>
          <w:color w:val="000000"/>
          <w:sz w:val="24"/>
          <w:szCs w:val="24"/>
        </w:rPr>
        <w:t xml:space="preserve">percent and risks </w:t>
      </w:r>
      <w:r>
        <w:rPr>
          <w:rFonts w:ascii="Tahoma" w:cs="Tahoma" w:hAnsi="Tahoma"/>
          <w:bCs/>
          <w:iCs/>
          <w:color w:val="000000"/>
          <w:sz w:val="24"/>
          <w:szCs w:val="24"/>
        </w:rPr>
        <w:t>3.2</w:t>
      </w:r>
      <w:r>
        <w:rPr>
          <w:rFonts w:ascii="Tahoma" w:cs="Tahoma" w:hAnsi="Tahoma"/>
          <w:bCs/>
          <w:iCs/>
          <w:color w:val="000000"/>
          <w:sz w:val="24"/>
          <w:szCs w:val="24"/>
        </w:rPr>
        <w:t>6</w:t>
      </w:r>
      <w:r>
        <w:rPr>
          <w:rFonts w:ascii="Tahoma" w:cs="Tahoma" w:hAnsi="Tahoma"/>
          <w:bCs/>
          <w:iCs/>
          <w:color w:val="000000"/>
          <w:sz w:val="24"/>
          <w:szCs w:val="24"/>
        </w:rPr>
        <w:t xml:space="preserve"> </w:t>
      </w:r>
      <w:r>
        <w:rPr>
          <w:rFonts w:ascii="Tahoma" w:cs="Tahoma" w:hAnsi="Tahoma"/>
          <w:bCs/>
          <w:iCs/>
          <w:color w:val="000000"/>
          <w:sz w:val="24"/>
          <w:szCs w:val="24"/>
        </w:rPr>
        <w:t xml:space="preserve">percent) by the end of strategy period.  </w:t>
      </w:r>
    </w:p>
    <w:p>
      <w:pPr>
        <w:pStyle w:val="style179"/>
        <w:numPr>
          <w:ilvl w:val="0"/>
          <w:numId w:val="6"/>
        </w:numPr>
        <w:spacing w:lineRule="auto" w:line="360"/>
        <w:ind w:left="709" w:hanging="283"/>
        <w:jc w:val="both"/>
        <w:rPr>
          <w:rFonts w:ascii="Tahoma" w:cs="Tahoma" w:hAnsi="Tahoma"/>
          <w:bCs/>
          <w:iCs/>
          <w:color w:val="000000"/>
          <w:sz w:val="24"/>
          <w:szCs w:val="24"/>
        </w:rPr>
      </w:pPr>
      <w:r>
        <w:rPr>
          <w:rFonts w:ascii="Tahoma" w:cs="Tahoma" w:hAnsi="Tahoma"/>
          <w:bCs/>
          <w:iCs/>
          <w:color w:val="000000"/>
          <w:sz w:val="24"/>
          <w:szCs w:val="24"/>
        </w:rPr>
        <w:t>The analysis shows that, the S</w:t>
      </w:r>
      <w:r>
        <w:rPr>
          <w:rFonts w:ascii="Tahoma" w:cs="Tahoma" w:hAnsi="Tahoma"/>
          <w:bCs/>
          <w:iCs/>
          <w:color w:val="000000"/>
          <w:sz w:val="24"/>
          <w:szCs w:val="24"/>
        </w:rPr>
        <w:t>4</w:t>
      </w:r>
      <w:r>
        <w:rPr>
          <w:rFonts w:ascii="Tahoma" w:cs="Tahoma" w:hAnsi="Tahoma"/>
          <w:bCs/>
          <w:iCs/>
          <w:color w:val="000000"/>
          <w:sz w:val="24"/>
          <w:szCs w:val="24"/>
        </w:rPr>
        <w:t xml:space="preserve"> has the lowest cost and risks of </w:t>
      </w:r>
      <w:r>
        <w:rPr>
          <w:rFonts w:ascii="Tahoma" w:cs="Tahoma" w:hAnsi="Tahoma"/>
          <w:bCs/>
          <w:iCs/>
          <w:color w:val="000000"/>
          <w:sz w:val="24"/>
          <w:szCs w:val="24"/>
        </w:rPr>
        <w:t>3.98</w:t>
      </w:r>
      <w:r>
        <w:rPr>
          <w:rFonts w:ascii="Tahoma" w:cs="Tahoma" w:hAnsi="Tahoma"/>
          <w:bCs/>
          <w:iCs/>
          <w:color w:val="000000"/>
          <w:sz w:val="24"/>
          <w:szCs w:val="24"/>
        </w:rPr>
        <w:t xml:space="preserve"> percent and 3.</w:t>
      </w:r>
      <w:r>
        <w:rPr>
          <w:rFonts w:ascii="Tahoma" w:cs="Tahoma" w:hAnsi="Tahoma"/>
          <w:bCs/>
          <w:iCs/>
          <w:color w:val="000000"/>
          <w:sz w:val="24"/>
          <w:szCs w:val="24"/>
        </w:rPr>
        <w:t>17</w:t>
      </w:r>
      <w:r>
        <w:rPr>
          <w:rFonts w:ascii="Tahoma" w:cs="Tahoma" w:hAnsi="Tahoma"/>
          <w:bCs/>
          <w:iCs/>
          <w:color w:val="000000"/>
          <w:sz w:val="24"/>
          <w:szCs w:val="24"/>
        </w:rPr>
        <w:t xml:space="preserve"> percent compared with Strategy </w:t>
      </w:r>
      <w:r>
        <w:rPr>
          <w:rFonts w:ascii="Tahoma" w:cs="Tahoma" w:hAnsi="Tahoma"/>
          <w:bCs/>
          <w:iCs/>
          <w:color w:val="000000"/>
          <w:sz w:val="24"/>
          <w:szCs w:val="24"/>
        </w:rPr>
        <w:t>3</w:t>
      </w:r>
      <w:r>
        <w:rPr>
          <w:rFonts w:ascii="Tahoma" w:cs="Tahoma" w:hAnsi="Tahoma"/>
          <w:bCs/>
          <w:iCs/>
          <w:color w:val="000000"/>
          <w:sz w:val="24"/>
          <w:szCs w:val="24"/>
        </w:rPr>
        <w:t xml:space="preserve"> that has the highest costs and risks of </w:t>
      </w:r>
      <w:r>
        <w:rPr>
          <w:rFonts w:ascii="Tahoma" w:cs="Tahoma" w:hAnsi="Tahoma"/>
          <w:bCs/>
          <w:iCs/>
          <w:color w:val="000000"/>
          <w:sz w:val="24"/>
          <w:szCs w:val="24"/>
        </w:rPr>
        <w:t xml:space="preserve">4.83 </w:t>
      </w:r>
      <w:r>
        <w:rPr>
          <w:rFonts w:ascii="Tahoma" w:cs="Tahoma" w:hAnsi="Tahoma"/>
          <w:bCs/>
          <w:iCs/>
          <w:color w:val="000000"/>
          <w:sz w:val="24"/>
          <w:szCs w:val="24"/>
        </w:rPr>
        <w:t>percent and 3.</w:t>
      </w:r>
      <w:r>
        <w:rPr>
          <w:rFonts w:ascii="Tahoma" w:cs="Tahoma" w:hAnsi="Tahoma"/>
          <w:bCs/>
          <w:iCs/>
          <w:color w:val="000000"/>
          <w:sz w:val="24"/>
          <w:szCs w:val="24"/>
        </w:rPr>
        <w:t>26</w:t>
      </w:r>
      <w:r>
        <w:rPr>
          <w:rFonts w:ascii="Tahoma" w:cs="Tahoma" w:hAnsi="Tahoma"/>
          <w:bCs/>
          <w:iCs/>
          <w:color w:val="000000"/>
          <w:sz w:val="24"/>
          <w:szCs w:val="24"/>
        </w:rPr>
        <w:t xml:space="preserve"> percent by the end of strategy period of 2026.</w:t>
      </w:r>
    </w:p>
    <w:p>
      <w:pPr>
        <w:pStyle w:val="style0"/>
        <w:spacing w:after="0" w:lineRule="auto" w:line="360"/>
        <w:jc w:val="both"/>
        <w:rPr>
          <w:rFonts w:ascii="Tahoma" w:cs="Tahoma" w:hAnsi="Tahoma"/>
          <w:bCs/>
          <w:iCs/>
          <w:color w:val="000000"/>
          <w:sz w:val="24"/>
          <w:szCs w:val="24"/>
        </w:rPr>
      </w:pPr>
      <w:r>
        <w:rPr/>
        <w:drawing>
          <wp:inline distL="0" distT="0" distB="0" distR="0">
            <wp:extent cx="5943600" cy="2307008"/>
            <wp:effectExtent l="0" t="0" r="0" b="0"/>
            <wp:docPr id="1041"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Picture 10"/>
                    <pic:cNvPicPr/>
                  </pic:nvPicPr>
                  <pic:blipFill>
                    <a:blip r:embed="rId17" cstate="print"/>
                    <a:srcRect l="0" t="0" r="0" b="0"/>
                    <a:stretch/>
                  </pic:blipFill>
                  <pic:spPr>
                    <a:xfrm rot="0">
                      <a:off x="0" y="0"/>
                      <a:ext cx="5943600" cy="2307008"/>
                    </a:xfrm>
                    <a:prstGeom prst="rect"/>
                    <a:ln>
                      <a:noFill/>
                    </a:ln>
                  </pic:spPr>
                </pic:pic>
              </a:graphicData>
            </a:graphic>
          </wp:inline>
        </w:drawing>
      </w:r>
    </w:p>
    <w:p>
      <w:pPr>
        <w:pStyle w:val="style0"/>
        <w:spacing w:after="0" w:lineRule="auto" w:line="360"/>
        <w:jc w:val="both"/>
        <w:rPr>
          <w:rFonts w:ascii="Tahoma" w:cs="Tahoma" w:hAnsi="Tahoma"/>
          <w:bCs/>
          <w:iCs/>
          <w:color w:val="000000"/>
          <w:sz w:val="24"/>
          <w:szCs w:val="24"/>
        </w:rPr>
      </w:pPr>
    </w:p>
    <w:p>
      <w:pPr>
        <w:pStyle w:val="style0"/>
        <w:spacing w:after="0" w:lineRule="auto" w:line="360"/>
        <w:jc w:val="both"/>
        <w:rPr>
          <w:rFonts w:ascii="Tahoma" w:cs="Tahoma" w:hAnsi="Tahoma"/>
          <w:bCs/>
          <w:iCs/>
          <w:color w:val="000000"/>
          <w:sz w:val="24"/>
          <w:szCs w:val="24"/>
        </w:rPr>
      </w:pPr>
    </w:p>
    <w:p>
      <w:pPr>
        <w:pStyle w:val="style0"/>
        <w:spacing w:after="0" w:lineRule="auto" w:line="360"/>
        <w:jc w:val="both"/>
        <w:rPr>
          <w:rFonts w:ascii="Tahoma" w:cs="Tahoma" w:hAnsi="Tahoma"/>
          <w:bCs/>
          <w:iCs/>
          <w:color w:val="000000"/>
          <w:sz w:val="24"/>
          <w:szCs w:val="24"/>
        </w:rPr>
      </w:pPr>
    </w:p>
    <w:p>
      <w:pPr>
        <w:pStyle w:val="style0"/>
        <w:spacing w:after="0" w:lineRule="auto" w:line="360"/>
        <w:jc w:val="both"/>
        <w:rPr>
          <w:rFonts w:ascii="Tahoma" w:cs="Tahoma" w:hAnsi="Tahoma"/>
          <w:bCs/>
          <w:iCs/>
          <w:color w:val="000000"/>
          <w:sz w:val="24"/>
          <w:szCs w:val="24"/>
        </w:rPr>
      </w:pPr>
    </w:p>
    <w:bookmarkStart w:id="8" w:name="_Toc79503963"/>
    <w:p>
      <w:pPr>
        <w:pStyle w:val="style0"/>
        <w:spacing w:after="0" w:lineRule="auto" w:line="360"/>
        <w:rPr>
          <w:rFonts w:ascii="Tahoma" w:cs="Tahoma" w:hAnsi="Tahoma"/>
          <w:b/>
          <w:bCs/>
          <w:color w:val="0070c0"/>
          <w:sz w:val="24"/>
          <w:szCs w:val="24"/>
        </w:rPr>
      </w:pPr>
      <w:r>
        <w:rPr>
          <w:rFonts w:ascii="Tahoma" w:cs="Tahoma" w:hAnsi="Tahoma"/>
          <w:b/>
          <w:bCs/>
          <w:color w:val="0070c0"/>
          <w:sz w:val="24"/>
          <w:szCs w:val="24"/>
        </w:rPr>
        <w:t>5.</w:t>
      </w:r>
      <w:r>
        <w:rPr>
          <w:rFonts w:ascii="Tahoma" w:cs="Tahoma" w:hAnsi="Tahoma"/>
          <w:b/>
          <w:bCs/>
          <w:color w:val="0070c0"/>
          <w:sz w:val="24"/>
          <w:szCs w:val="24"/>
        </w:rPr>
        <w:t>3</w:t>
      </w:r>
      <w:r>
        <w:rPr>
          <w:rFonts w:ascii="Tahoma" w:cs="Tahoma" w:hAnsi="Tahoma"/>
          <w:b/>
          <w:bCs/>
          <w:color w:val="0070c0"/>
          <w:sz w:val="24"/>
          <w:szCs w:val="24"/>
        </w:rPr>
        <w:t xml:space="preserve"> DMS Assessment</w:t>
      </w:r>
      <w:bookmarkEnd w:id="8"/>
    </w:p>
    <w:p>
      <w:pPr>
        <w:pStyle w:val="style0"/>
        <w:spacing w:lineRule="auto" w:line="360"/>
        <w:jc w:val="both"/>
        <w:rPr>
          <w:rFonts w:ascii="Tahoma" w:cs="Tahoma" w:hAnsi="Tahoma"/>
          <w:bCs/>
          <w:sz w:val="24"/>
          <w:szCs w:val="24"/>
        </w:rPr>
      </w:pPr>
      <w:r>
        <w:rPr>
          <w:rFonts w:ascii="Tahoma" w:cs="Tahoma" w:hAnsi="Tahoma"/>
          <w:bCs/>
          <w:sz w:val="24"/>
          <w:szCs w:val="24"/>
        </w:rPr>
        <w:t>The preferred strategy was not solely based on the A</w:t>
      </w:r>
      <w:r>
        <w:rPr>
          <w:rFonts w:ascii="Tahoma" w:cs="Tahoma" w:hAnsi="Tahoma"/>
          <w:bCs/>
          <w:sz w:val="24"/>
          <w:szCs w:val="24"/>
        </w:rPr>
        <w:t xml:space="preserve">nalytical </w:t>
      </w:r>
      <w:r>
        <w:rPr>
          <w:rFonts w:ascii="Tahoma" w:cs="Tahoma" w:hAnsi="Tahoma"/>
          <w:bCs/>
          <w:sz w:val="24"/>
          <w:szCs w:val="24"/>
        </w:rPr>
        <w:t>T</w:t>
      </w:r>
      <w:r>
        <w:rPr>
          <w:rFonts w:ascii="Tahoma" w:cs="Tahoma" w:hAnsi="Tahoma"/>
          <w:bCs/>
          <w:sz w:val="24"/>
          <w:szCs w:val="24"/>
        </w:rPr>
        <w:t>ool</w:t>
      </w:r>
      <w:r>
        <w:rPr>
          <w:rFonts w:ascii="Tahoma" w:cs="Tahoma" w:hAnsi="Tahoma"/>
          <w:bCs/>
          <w:sz w:val="24"/>
          <w:szCs w:val="24"/>
        </w:rPr>
        <w:t xml:space="preserve"> assessment of all four strategies but took into consideration the ability to implement the chosen strategy successfully in the medium-term. Therefore, although the A</w:t>
      </w:r>
      <w:r>
        <w:rPr>
          <w:rFonts w:ascii="Tahoma" w:cs="Tahoma" w:hAnsi="Tahoma"/>
          <w:bCs/>
          <w:sz w:val="24"/>
          <w:szCs w:val="24"/>
        </w:rPr>
        <w:t xml:space="preserve">nalytical </w:t>
      </w:r>
      <w:r>
        <w:rPr>
          <w:rFonts w:ascii="Tahoma" w:cs="Tahoma" w:hAnsi="Tahoma"/>
          <w:bCs/>
          <w:sz w:val="24"/>
          <w:szCs w:val="24"/>
        </w:rPr>
        <w:t>T</w:t>
      </w:r>
      <w:r>
        <w:rPr>
          <w:rFonts w:ascii="Tahoma" w:cs="Tahoma" w:hAnsi="Tahoma"/>
          <w:bCs/>
          <w:sz w:val="24"/>
          <w:szCs w:val="24"/>
        </w:rPr>
        <w:t>ool</w:t>
      </w:r>
      <w:r>
        <w:rPr>
          <w:rFonts w:ascii="Tahoma" w:cs="Tahoma" w:hAnsi="Tahoma"/>
          <w:bCs/>
          <w:sz w:val="24"/>
          <w:szCs w:val="24"/>
        </w:rPr>
        <w:t>’s results of cost and risk would suggest that the recommended strategy be S</w:t>
      </w:r>
      <w:r>
        <w:rPr>
          <w:rFonts w:ascii="Tahoma" w:cs="Tahoma" w:hAnsi="Tahoma"/>
          <w:bCs/>
          <w:sz w:val="24"/>
          <w:szCs w:val="24"/>
        </w:rPr>
        <w:t>4</w:t>
      </w:r>
      <w:r>
        <w:rPr>
          <w:rFonts w:ascii="Tahoma" w:cs="Tahoma" w:hAnsi="Tahoma"/>
          <w:bCs/>
          <w:sz w:val="24"/>
          <w:szCs w:val="24"/>
        </w:rPr>
        <w:t xml:space="preserve"> these results were just marginally better when compared with </w:t>
      </w:r>
      <w:r>
        <w:rPr>
          <w:rFonts w:ascii="Tahoma" w:cs="Tahoma" w:hAnsi="Tahoma"/>
          <w:bCs/>
          <w:sz w:val="24"/>
          <w:szCs w:val="24"/>
        </w:rPr>
        <w:t xml:space="preserve">other </w:t>
      </w:r>
      <w:r>
        <w:rPr>
          <w:rFonts w:ascii="Tahoma" w:cs="Tahoma" w:hAnsi="Tahoma"/>
          <w:bCs/>
          <w:sz w:val="24"/>
          <w:szCs w:val="24"/>
        </w:rPr>
        <w:t>S</w:t>
      </w:r>
      <w:r>
        <w:rPr>
          <w:rFonts w:ascii="Tahoma" w:cs="Tahoma" w:hAnsi="Tahoma"/>
          <w:bCs/>
          <w:sz w:val="24"/>
          <w:szCs w:val="24"/>
        </w:rPr>
        <w:t>2, S3 and S</w:t>
      </w:r>
      <w:r>
        <w:rPr>
          <w:rFonts w:ascii="Tahoma" w:cs="Tahoma" w:hAnsi="Tahoma"/>
          <w:bCs/>
          <w:sz w:val="24"/>
          <w:szCs w:val="24"/>
        </w:rPr>
        <w:t>1</w:t>
      </w:r>
      <w:r>
        <w:rPr>
          <w:rFonts w:ascii="Tahoma" w:cs="Tahoma" w:hAnsi="Tahoma"/>
          <w:bCs/>
          <w:sz w:val="24"/>
          <w:szCs w:val="24"/>
        </w:rPr>
        <w:t>.</w:t>
      </w:r>
      <w:r>
        <w:rPr>
          <w:rFonts w:ascii="Tahoma" w:cs="Tahoma" w:hAnsi="Tahoma"/>
          <w:bCs/>
          <w:sz w:val="24"/>
          <w:szCs w:val="24"/>
        </w:rPr>
        <w:t xml:space="preserve"> </w:t>
      </w:r>
      <w:r>
        <w:rPr>
          <w:rFonts w:ascii="Tahoma" w:cs="Tahoma" w:hAnsi="Tahoma"/>
          <w:b/>
          <w:i/>
          <w:iCs/>
          <w:sz w:val="24"/>
          <w:szCs w:val="24"/>
        </w:rPr>
        <w:t>it</w:t>
      </w:r>
      <w:r>
        <w:rPr>
          <w:rFonts w:ascii="Tahoma" w:cs="Tahoma" w:hAnsi="Tahoma"/>
          <w:b/>
          <w:i/>
          <w:iCs/>
          <w:sz w:val="24"/>
          <w:szCs w:val="24"/>
        </w:rPr>
        <w:t xml:space="preserve"> </w:t>
      </w:r>
      <w:r>
        <w:rPr>
          <w:rFonts w:ascii="Tahoma" w:cs="Tahoma" w:hAnsi="Tahoma"/>
          <w:b/>
          <w:i/>
          <w:iCs/>
          <w:sz w:val="24"/>
          <w:szCs w:val="24"/>
        </w:rPr>
        <w:t>was</w:t>
      </w:r>
      <w:r>
        <w:rPr>
          <w:rFonts w:ascii="Tahoma" w:cs="Tahoma" w:hAnsi="Tahoma"/>
          <w:b/>
          <w:i/>
          <w:iCs/>
          <w:sz w:val="24"/>
          <w:szCs w:val="24"/>
        </w:rPr>
        <w:t xml:space="preserve"> considered that S</w:t>
      </w:r>
      <w:r>
        <w:rPr>
          <w:rFonts w:ascii="Tahoma" w:cs="Tahoma" w:hAnsi="Tahoma"/>
          <w:b/>
          <w:i/>
          <w:iCs/>
          <w:sz w:val="24"/>
          <w:szCs w:val="24"/>
        </w:rPr>
        <w:t>4</w:t>
      </w:r>
      <w:r>
        <w:rPr>
          <w:rFonts w:ascii="Tahoma" w:cs="Tahoma" w:hAnsi="Tahoma"/>
          <w:b/>
          <w:i/>
          <w:iCs/>
          <w:sz w:val="24"/>
          <w:szCs w:val="24"/>
        </w:rPr>
        <w:t xml:space="preserve"> is the most feasible of the strategies to implement in the short-term and it would still greatly improve the portfolio’s debt position relative to the base year </w:t>
      </w:r>
      <w:r>
        <w:rPr>
          <w:rFonts w:ascii="Tahoma" w:cs="Tahoma" w:hAnsi="Tahoma"/>
          <w:b/>
          <w:i/>
          <w:iCs/>
          <w:sz w:val="24"/>
          <w:szCs w:val="24"/>
        </w:rPr>
        <w:t>202</w:t>
      </w:r>
      <w:r>
        <w:rPr>
          <w:rFonts w:ascii="Tahoma" w:cs="Tahoma" w:hAnsi="Tahoma"/>
          <w:b/>
          <w:i/>
          <w:iCs/>
          <w:sz w:val="24"/>
          <w:szCs w:val="24"/>
        </w:rPr>
        <w:t>2</w:t>
      </w:r>
      <w:r>
        <w:rPr>
          <w:rFonts w:ascii="Tahoma" w:cs="Tahoma" w:hAnsi="Tahoma"/>
          <w:bCs/>
          <w:sz w:val="24"/>
          <w:szCs w:val="24"/>
        </w:rPr>
        <w:t>.</w:t>
      </w:r>
    </w:p>
    <w:p>
      <w:pPr>
        <w:pStyle w:val="style0"/>
        <w:spacing w:lineRule="auto" w:line="360"/>
        <w:jc w:val="both"/>
        <w:rPr>
          <w:rFonts w:ascii="Tahoma" w:cs="Tahoma" w:hAnsi="Tahoma"/>
          <w:bCs/>
          <w:sz w:val="24"/>
          <w:szCs w:val="24"/>
        </w:rPr>
      </w:pPr>
      <w:r>
        <w:rPr>
          <w:rFonts w:ascii="Tahoma" w:cs="Tahoma" w:hAnsi="Tahoma"/>
          <w:bCs/>
          <w:sz w:val="24"/>
          <w:szCs w:val="24"/>
        </w:rPr>
        <w:t xml:space="preserve">In comparison to the </w:t>
      </w:r>
      <w:r>
        <w:rPr>
          <w:rFonts w:ascii="Tahoma" w:cs="Tahoma" w:hAnsi="Tahoma"/>
          <w:bCs/>
          <w:sz w:val="24"/>
          <w:szCs w:val="24"/>
        </w:rPr>
        <w:t xml:space="preserve">current debt </w:t>
      </w:r>
      <w:r>
        <w:rPr>
          <w:rFonts w:ascii="Tahoma" w:cs="Tahoma" w:hAnsi="Tahoma"/>
          <w:bCs/>
          <w:sz w:val="24"/>
          <w:szCs w:val="24"/>
        </w:rPr>
        <w:t xml:space="preserve">position, </w:t>
      </w:r>
      <w:r>
        <w:rPr>
          <w:rFonts w:ascii="Tahoma" w:cs="Tahoma" w:hAnsi="Tahoma"/>
          <w:bCs/>
          <w:sz w:val="24"/>
          <w:szCs w:val="24"/>
        </w:rPr>
        <w:t>Kano</w:t>
      </w:r>
      <w:r>
        <w:rPr>
          <w:rFonts w:ascii="Tahoma" w:cs="Tahoma" w:hAnsi="Tahoma"/>
          <w:bCs/>
          <w:sz w:val="24"/>
          <w:szCs w:val="24"/>
        </w:rPr>
        <w:t xml:space="preserve"> State debt portfolio stood at </w:t>
      </w:r>
      <w:r>
        <w:rPr>
          <w:rFonts w:ascii="Tahoma" w:cs="Tahoma" w:hAnsi="Tahoma"/>
          <w:bCs/>
          <w:sz w:val="24"/>
          <w:szCs w:val="24"/>
        </w:rPr>
        <w:t>N</w:t>
      </w:r>
      <w:r>
        <w:rPr>
          <w:rFonts w:ascii="Tahoma" w:cs="Tahoma" w:hAnsi="Tahoma"/>
          <w:bCs/>
          <w:sz w:val="24"/>
          <w:szCs w:val="24"/>
        </w:rPr>
        <w:t>161,414.74</w:t>
      </w:r>
      <w:r>
        <w:rPr>
          <w:rFonts w:ascii="Tahoma" w:cs="Tahoma" w:hAnsi="Tahoma"/>
          <w:bCs/>
          <w:sz w:val="24"/>
          <w:szCs w:val="24"/>
        </w:rPr>
        <w:t xml:space="preserve"> million</w:t>
      </w:r>
      <w:r>
        <w:rPr>
          <w:rFonts w:ascii="Tahoma" w:cs="Tahoma" w:hAnsi="Tahoma"/>
          <w:bCs/>
          <w:sz w:val="24"/>
          <w:szCs w:val="24"/>
        </w:rPr>
        <w:t xml:space="preserve"> as at end-202</w:t>
      </w:r>
      <w:r>
        <w:rPr>
          <w:rFonts w:ascii="Tahoma" w:cs="Tahoma" w:hAnsi="Tahoma"/>
          <w:bCs/>
          <w:sz w:val="24"/>
          <w:szCs w:val="24"/>
        </w:rPr>
        <w:t>1</w:t>
      </w:r>
      <w:r>
        <w:rPr>
          <w:rFonts w:ascii="Tahoma" w:cs="Tahoma" w:hAnsi="Tahoma"/>
          <w:bCs/>
          <w:sz w:val="24"/>
          <w:szCs w:val="24"/>
        </w:rPr>
        <w:t>, which expected an increase to N</w:t>
      </w:r>
      <w:r>
        <w:rPr>
          <w:rFonts w:ascii="Tahoma" w:cs="Tahoma" w:hAnsi="Tahoma"/>
          <w:bCs/>
          <w:sz w:val="24"/>
          <w:szCs w:val="24"/>
        </w:rPr>
        <w:t>174,633.28</w:t>
      </w:r>
      <w:r>
        <w:rPr>
          <w:rFonts w:ascii="Tahoma" w:cs="Tahoma" w:hAnsi="Tahoma"/>
          <w:bCs/>
          <w:sz w:val="24"/>
          <w:szCs w:val="24"/>
        </w:rPr>
        <w:t xml:space="preserve"> million </w:t>
      </w:r>
      <w:r>
        <w:rPr>
          <w:rFonts w:ascii="Tahoma" w:cs="Tahoma" w:hAnsi="Tahoma"/>
          <w:bCs/>
          <w:sz w:val="24"/>
          <w:szCs w:val="24"/>
        </w:rPr>
        <w:t xml:space="preserve">under S1 during the strategic period, </w:t>
      </w:r>
      <w:r>
        <w:rPr>
          <w:rFonts w:ascii="Tahoma" w:cs="Tahoma" w:hAnsi="Tahoma"/>
          <w:bCs/>
          <w:sz w:val="24"/>
          <w:szCs w:val="24"/>
        </w:rPr>
        <w:t xml:space="preserve">compared to </w:t>
      </w:r>
      <w:r>
        <w:rPr>
          <w:rFonts w:ascii="Tahoma" w:cs="Tahoma" w:hAnsi="Tahoma"/>
          <w:bCs/>
          <w:sz w:val="24"/>
          <w:szCs w:val="24"/>
        </w:rPr>
        <w:t>S2 (N</w:t>
      </w:r>
      <w:r>
        <w:rPr>
          <w:rFonts w:ascii="Tahoma" w:cs="Tahoma" w:hAnsi="Tahoma"/>
          <w:bCs/>
          <w:sz w:val="24"/>
          <w:szCs w:val="24"/>
        </w:rPr>
        <w:t>176,085.39</w:t>
      </w:r>
      <w:r>
        <w:rPr>
          <w:rFonts w:ascii="Tahoma" w:cs="Tahoma" w:hAnsi="Tahoma"/>
          <w:bCs/>
          <w:sz w:val="24"/>
          <w:szCs w:val="24"/>
        </w:rPr>
        <w:t xml:space="preserve"> million), S</w:t>
      </w:r>
      <w:r>
        <w:rPr>
          <w:rFonts w:ascii="Tahoma" w:cs="Tahoma" w:hAnsi="Tahoma"/>
          <w:bCs/>
          <w:sz w:val="24"/>
          <w:szCs w:val="24"/>
        </w:rPr>
        <w:t>3</w:t>
      </w:r>
      <w:r>
        <w:rPr>
          <w:rFonts w:ascii="Tahoma" w:cs="Tahoma" w:hAnsi="Tahoma"/>
          <w:bCs/>
          <w:sz w:val="24"/>
          <w:szCs w:val="24"/>
        </w:rPr>
        <w:t xml:space="preserve"> (N</w:t>
      </w:r>
      <w:r>
        <w:rPr>
          <w:rFonts w:ascii="Tahoma" w:cs="Tahoma" w:hAnsi="Tahoma"/>
          <w:bCs/>
          <w:sz w:val="24"/>
          <w:szCs w:val="24"/>
        </w:rPr>
        <w:t>176,401.61</w:t>
      </w:r>
      <w:r>
        <w:rPr>
          <w:rFonts w:ascii="Tahoma" w:cs="Tahoma" w:hAnsi="Tahoma"/>
          <w:bCs/>
          <w:sz w:val="24"/>
          <w:szCs w:val="24"/>
        </w:rPr>
        <w:t xml:space="preserve"> million), and S4 (N</w:t>
      </w:r>
      <w:r>
        <w:rPr>
          <w:rFonts w:ascii="Tahoma" w:cs="Tahoma" w:hAnsi="Tahoma"/>
          <w:bCs/>
          <w:sz w:val="24"/>
          <w:szCs w:val="24"/>
        </w:rPr>
        <w:t>172,777.21</w:t>
      </w:r>
      <w:r>
        <w:rPr>
          <w:rFonts w:ascii="Tahoma" w:cs="Tahoma" w:hAnsi="Tahoma"/>
          <w:bCs/>
          <w:sz w:val="24"/>
          <w:szCs w:val="24"/>
        </w:rPr>
        <w:t xml:space="preserve"> million). </w:t>
      </w:r>
      <w:r>
        <w:rPr>
          <w:rFonts w:ascii="Tahoma" w:cs="Tahoma" w:hAnsi="Tahoma"/>
          <w:bCs/>
          <w:sz w:val="24"/>
          <w:szCs w:val="24"/>
        </w:rPr>
        <w:t>In addition to this, the cost/risk trade-offs are considered, using the debt to GDP, debt to revenue, debt service to GDP, debt service to revenue, interest to GDP and interest payment to GDP ratios</w:t>
      </w:r>
      <w:r>
        <w:rPr>
          <w:rFonts w:ascii="Tahoma" w:cs="Tahoma" w:hAnsi="Tahoma"/>
          <w:bCs/>
          <w:sz w:val="24"/>
          <w:szCs w:val="24"/>
        </w:rPr>
        <w:t xml:space="preserve">, </w:t>
      </w:r>
      <w:r>
        <w:rPr>
          <w:rFonts w:ascii="Tahoma" w:cs="Tahoma" w:hAnsi="Tahoma"/>
          <w:bCs/>
          <w:sz w:val="24"/>
          <w:szCs w:val="24"/>
        </w:rPr>
        <w:t>S1 is selected as the preferred strategy for the 20</w:t>
      </w:r>
      <w:r>
        <w:rPr>
          <w:rFonts w:ascii="Tahoma" w:cs="Tahoma" w:hAnsi="Tahoma"/>
          <w:bCs/>
          <w:sz w:val="24"/>
          <w:szCs w:val="24"/>
        </w:rPr>
        <w:t>2</w:t>
      </w:r>
      <w:r>
        <w:rPr>
          <w:rFonts w:ascii="Tahoma" w:cs="Tahoma" w:hAnsi="Tahoma"/>
          <w:bCs/>
          <w:sz w:val="24"/>
          <w:szCs w:val="24"/>
        </w:rPr>
        <w:t>2</w:t>
      </w:r>
      <w:r>
        <w:rPr>
          <w:rFonts w:ascii="Tahoma" w:cs="Tahoma" w:hAnsi="Tahoma"/>
          <w:bCs/>
          <w:sz w:val="24"/>
          <w:szCs w:val="24"/>
        </w:rPr>
        <w:t>-202</w:t>
      </w:r>
      <w:r>
        <w:rPr>
          <w:rFonts w:ascii="Tahoma" w:cs="Tahoma" w:hAnsi="Tahoma"/>
          <w:bCs/>
          <w:sz w:val="24"/>
          <w:szCs w:val="24"/>
        </w:rPr>
        <w:t>6</w:t>
      </w:r>
      <w:r>
        <w:rPr>
          <w:rFonts w:ascii="Tahoma" w:cs="Tahoma" w:hAnsi="Tahoma"/>
          <w:bCs/>
          <w:sz w:val="24"/>
          <w:szCs w:val="24"/>
        </w:rPr>
        <w:t xml:space="preserve">. </w:t>
      </w:r>
      <w:bookmarkStart w:id="9" w:name="_GoBack"/>
      <w:bookmarkEnd w:id="9"/>
    </w:p>
    <w:p>
      <w:pPr>
        <w:pStyle w:val="style0"/>
        <w:spacing w:after="0" w:lineRule="auto" w:line="360"/>
        <w:jc w:val="both"/>
        <w:rPr>
          <w:rFonts w:ascii="Tahoma" w:cs="Tahoma" w:hAnsi="Tahoma"/>
          <w:bCs/>
          <w:sz w:val="24"/>
          <w:szCs w:val="24"/>
        </w:rPr>
      </w:pPr>
      <w:r>
        <w:rPr>
          <w:rFonts w:ascii="Tahoma" w:cs="Tahoma" w:hAnsi="Tahoma"/>
          <w:bCs/>
          <w:sz w:val="24"/>
          <w:szCs w:val="24"/>
        </w:rPr>
        <w:t xml:space="preserve">The </w:t>
      </w:r>
      <w:r>
        <w:rPr>
          <w:rFonts w:ascii="Tahoma" w:cs="Tahoma" w:hAnsi="Tahoma"/>
          <w:bCs/>
          <w:sz w:val="24"/>
          <w:szCs w:val="24"/>
        </w:rPr>
        <w:t xml:space="preserve">Debt </w:t>
      </w:r>
      <w:r>
        <w:rPr>
          <w:rFonts w:ascii="Tahoma" w:cs="Tahoma" w:hAnsi="Tahoma"/>
          <w:bCs/>
          <w:sz w:val="24"/>
          <w:szCs w:val="24"/>
        </w:rPr>
        <w:t>M</w:t>
      </w:r>
      <w:r>
        <w:rPr>
          <w:rFonts w:ascii="Tahoma" w:cs="Tahoma" w:hAnsi="Tahoma"/>
          <w:bCs/>
          <w:sz w:val="24"/>
          <w:szCs w:val="24"/>
        </w:rPr>
        <w:t xml:space="preserve">anagement </w:t>
      </w:r>
      <w:r>
        <w:rPr>
          <w:rFonts w:ascii="Tahoma" w:cs="Tahoma" w:hAnsi="Tahoma"/>
          <w:bCs/>
          <w:sz w:val="24"/>
          <w:szCs w:val="24"/>
        </w:rPr>
        <w:t>S</w:t>
      </w:r>
      <w:r>
        <w:rPr>
          <w:rFonts w:ascii="Tahoma" w:cs="Tahoma" w:hAnsi="Tahoma"/>
          <w:bCs/>
          <w:sz w:val="24"/>
          <w:szCs w:val="24"/>
        </w:rPr>
        <w:t xml:space="preserve">trategy, </w:t>
      </w:r>
      <w:r>
        <w:rPr>
          <w:rFonts w:ascii="Tahoma" w:cs="Tahoma" w:hAnsi="Tahoma"/>
          <w:bCs/>
          <w:sz w:val="24"/>
          <w:szCs w:val="24"/>
        </w:rPr>
        <w:t>202</w:t>
      </w:r>
      <w:r>
        <w:rPr>
          <w:rFonts w:ascii="Tahoma" w:cs="Tahoma" w:hAnsi="Tahoma"/>
          <w:bCs/>
          <w:sz w:val="24"/>
          <w:szCs w:val="24"/>
        </w:rPr>
        <w:t>2</w:t>
      </w:r>
      <w:r>
        <w:rPr>
          <w:rFonts w:ascii="Tahoma" w:cs="Tahoma" w:hAnsi="Tahoma"/>
          <w:bCs/>
          <w:sz w:val="24"/>
          <w:szCs w:val="24"/>
        </w:rPr>
        <w:t>-202</w:t>
      </w:r>
      <w:r>
        <w:rPr>
          <w:rFonts w:ascii="Tahoma" w:cs="Tahoma" w:hAnsi="Tahoma"/>
          <w:bCs/>
          <w:sz w:val="24"/>
          <w:szCs w:val="24"/>
        </w:rPr>
        <w:t>6</w:t>
      </w:r>
      <w:r>
        <w:rPr>
          <w:rFonts w:ascii="Tahoma" w:cs="Tahoma" w:hAnsi="Tahoma"/>
          <w:bCs/>
          <w:sz w:val="24"/>
          <w:szCs w:val="24"/>
        </w:rPr>
        <w:t xml:space="preserve"> represents a robust framework for prudent debt management, as it provides a systematic approach to decision making on the appropriate composition of external and domestic borrowing to finance the 202</w:t>
      </w:r>
      <w:r>
        <w:rPr>
          <w:rFonts w:ascii="Tahoma" w:cs="Tahoma" w:hAnsi="Tahoma"/>
          <w:bCs/>
          <w:sz w:val="24"/>
          <w:szCs w:val="24"/>
        </w:rPr>
        <w:t>2</w:t>
      </w:r>
      <w:r>
        <w:rPr>
          <w:rFonts w:ascii="Tahoma" w:cs="Tahoma" w:hAnsi="Tahoma"/>
          <w:bCs/>
          <w:sz w:val="24"/>
          <w:szCs w:val="24"/>
        </w:rPr>
        <w:t xml:space="preserve"> budget. The cost-risk trade-off of alternative borrowing strategies under the </w:t>
      </w:r>
      <w:r>
        <w:rPr>
          <w:rFonts w:ascii="Tahoma" w:cs="Tahoma" w:hAnsi="Tahoma"/>
          <w:bCs/>
          <w:sz w:val="24"/>
          <w:szCs w:val="24"/>
        </w:rPr>
        <w:t xml:space="preserve">DMS </w:t>
      </w:r>
      <w:r>
        <w:rPr>
          <w:rFonts w:ascii="Tahoma" w:cs="Tahoma" w:hAnsi="Tahoma"/>
          <w:bCs/>
          <w:sz w:val="24"/>
          <w:szCs w:val="24"/>
        </w:rPr>
        <w:t>has been evaluated within the medium-term context.</w:t>
      </w:r>
      <w:r>
        <w:rPr>
          <w:rFonts w:ascii="Tahoma" w:cs="Tahoma" w:hAnsi="Tahoma"/>
          <w:bCs/>
          <w:sz w:val="24"/>
          <w:szCs w:val="24"/>
        </w:rPr>
        <w:cr/>
      </w:r>
    </w:p>
    <w:p>
      <w:pPr>
        <w:pStyle w:val="style0"/>
        <w:spacing w:lineRule="auto" w:line="360"/>
        <w:jc w:val="both"/>
        <w:rPr>
          <w:rFonts w:ascii="Tahoma" w:cs="Tahoma" w:hAnsi="Tahoma"/>
          <w:sz w:val="24"/>
          <w:szCs w:val="24"/>
        </w:rPr>
      </w:pPr>
      <w:r>
        <w:rPr>
          <w:rFonts w:ascii="Tahoma" w:cs="Tahoma" w:hAnsi="Tahoma"/>
          <w:bCs/>
        </w:rPr>
        <w:t xml:space="preserve">The Fiscal Strategy Paper prioritized projects and </w:t>
      </w:r>
      <w:r>
        <w:rPr>
          <w:rFonts w:ascii="Tahoma" w:cs="Tahoma" w:hAnsi="Tahoma"/>
          <w:bCs/>
        </w:rPr>
        <w:t>programmes</w:t>
      </w:r>
      <w:r>
        <w:rPr>
          <w:rFonts w:ascii="Tahoma" w:cs="Tahoma" w:hAnsi="Tahoma"/>
          <w:bCs/>
        </w:rPr>
        <w:t xml:space="preserve"> in a sustainable manner and consistent with its development policy objective of the Government. The fiscal policies strongly recommend that the existing debt and new borrowing should be kept below the established threshold. Also, Fiscal Responsibility Act, 2007 as well as Debt Management Act, 2003 provides for prudent spending of public funds. The Government will always operate with the law by keeping it debt stock below the established threshold at minimum cost and risk. The cost of carrying debt and risk exposure depend largely on the debt management strategy adopted by the Government. The debt management strategy to be adopted will be able to provide for the Government the much-needed fund at minimum cost and risk without recourse to other financing options. Given </w:t>
      </w:r>
      <w:r>
        <w:rPr>
          <w:rFonts w:ascii="Tahoma" w:cs="Tahoma" w:hAnsi="Tahoma"/>
          <w:bCs/>
        </w:rPr>
        <w:t>the projections, both Baseline and Optimistic scenario shows that the debt is sustainable and resilient, and this is due to high expectation on the revenue.</w:t>
      </w:r>
      <w:r>
        <w:rPr>
          <w:rFonts w:ascii="Tahoma" w:cs="Tahoma" w:hAnsi="Tahoma"/>
          <w:bCs/>
        </w:rPr>
        <w:t xml:space="preserve"> With the MTB and FSP, the fiscal policy both on revenue expansion an expenditure control are targeted towards mobilization of fund for the budget as well as investments in the State. </w:t>
      </w:r>
      <w:r>
        <w:rPr>
          <w:rFonts w:ascii="Tahoma" w:cs="Tahoma" w:hAnsi="Tahoma"/>
          <w:sz w:val="24"/>
          <w:szCs w:val="24"/>
        </w:rPr>
        <w:t xml:space="preserve">This will among others improve budget allocations that reflects the </w:t>
      </w:r>
      <w:r>
        <w:rPr>
          <w:rFonts w:ascii="Tahoma" w:cs="Tahoma" w:hAnsi="Tahoma"/>
          <w:sz w:val="24"/>
          <w:szCs w:val="24"/>
        </w:rPr>
        <w:t>KnSG</w:t>
      </w:r>
      <w:r>
        <w:rPr>
          <w:rFonts w:ascii="Tahoma" w:cs="Tahoma" w:hAnsi="Tahoma"/>
          <w:sz w:val="24"/>
          <w:szCs w:val="24"/>
        </w:rPr>
        <w:t xml:space="preserve"> policy priorities and development needs of the State; Reduce deviation between budgeted and executed levels of expenditures; and improve cash management.</w:t>
      </w:r>
      <w:r>
        <w:rPr>
          <w:rFonts w:ascii="Tahoma" w:cs="Tahoma" w:hAnsi="Tahoma"/>
          <w:sz w:val="24"/>
          <w:szCs w:val="24"/>
        </w:rPr>
        <w:t xml:space="preserve"> </w:t>
      </w:r>
    </w:p>
    <w:p>
      <w:pPr>
        <w:pStyle w:val="style0"/>
        <w:spacing w:lineRule="auto" w:line="360"/>
        <w:jc w:val="both"/>
        <w:rPr>
          <w:rFonts w:ascii="Segoe UI" w:cs="Segoe UI" w:hAnsi="Segoe UI"/>
          <w:bCs/>
        </w:rPr>
      </w:pPr>
      <w:r>
        <w:rPr>
          <w:rFonts w:ascii="Segoe UI" w:cs="Segoe UI" w:hAnsi="Segoe UI"/>
          <w:bCs/>
        </w:rPr>
        <w:t xml:space="preserve">The Debt management strategy to be adopted both in the baseline and the most-adverse shock would be subjected to the principle of cost and risk analysis. The Government is expected by the Fiscal Responsibility Act, 2007, and the Debt Management Act, 2003, provides that the State to borrow or </w:t>
      </w:r>
      <w:r>
        <w:rPr>
          <w:rFonts w:ascii="Segoe UI" w:cs="Segoe UI" w:hAnsi="Segoe UI"/>
        </w:rPr>
        <w:t>raise the required amount of funding at the lowest possible cost over the medium to long run, consistent with a prudent degree of risk. Debt Management Strategy examines the costs and risks inherent in the current debt portfolio, as well as in the debt portfolios that would arise from a range of possible issuance strategies</w:t>
      </w:r>
      <w:r>
        <w:rPr>
          <w:rFonts w:ascii="Segoe UI" w:cs="Segoe UI" w:hAnsi="Segoe UI"/>
        </w:rPr>
        <w:t>. The borrowed fund should be used for capital project as well as human capital development. Other strategy such as portfolio mix of domestic and external debt ratio in order to hedge against risk.</w:t>
      </w:r>
    </w:p>
    <w:bookmarkStart w:id="10" w:name="_Toc116071688"/>
    <w:p>
      <w:pPr>
        <w:pStyle w:val="style2"/>
        <w:spacing w:lineRule="auto" w:line="360"/>
        <w:rPr>
          <w:rFonts w:ascii="Tahoma" w:cs="Tahoma" w:hAnsi="Tahoma"/>
          <w:b w:val="false"/>
          <w:bCs w:val="false"/>
          <w:color w:val="0070c0"/>
          <w:sz w:val="24"/>
          <w:szCs w:val="24"/>
        </w:rPr>
      </w:pPr>
    </w:p>
    <w:p>
      <w:pPr>
        <w:pStyle w:val="style2"/>
        <w:spacing w:lineRule="auto" w:line="360"/>
        <w:rPr>
          <w:rFonts w:ascii="Tahoma" w:cs="Tahoma" w:hAnsi="Tahoma"/>
          <w:b w:val="false"/>
          <w:bCs w:val="false"/>
          <w:color w:val="0070c0"/>
          <w:sz w:val="24"/>
          <w:szCs w:val="24"/>
        </w:rPr>
      </w:pPr>
      <w:r>
        <w:rPr>
          <w:rFonts w:ascii="Tahoma" w:cs="Tahoma" w:hAnsi="Tahoma"/>
          <w:b w:val="false"/>
          <w:bCs w:val="false"/>
          <w:color w:val="0070c0"/>
          <w:sz w:val="24"/>
          <w:szCs w:val="24"/>
        </w:rPr>
        <w:t>#</w:t>
      </w:r>
      <w:r>
        <w:rPr>
          <w:rFonts w:ascii="Tahoma" w:cs="Tahoma" w:hAnsi="Tahoma"/>
          <w:b w:val="false"/>
          <w:bCs w:val="false"/>
          <w:color w:val="0070c0"/>
          <w:sz w:val="24"/>
          <w:szCs w:val="24"/>
        </w:rPr>
        <w:t>I: Baseline Assumptions</w:t>
      </w:r>
      <w:bookmarkEnd w:id="10"/>
    </w:p>
    <w:p>
      <w:pPr>
        <w:pStyle w:val="style0"/>
        <w:spacing w:lineRule="auto" w:line="360"/>
        <w:rPr>
          <w:rFonts w:ascii="Tahoma" w:cs="Tahoma" w:hAnsi="Tahoma"/>
          <w:bCs/>
          <w:sz w:val="24"/>
          <w:szCs w:val="24"/>
        </w:rPr>
      </w:pPr>
      <w:r>
        <w:rPr>
          <w:rFonts w:ascii="Tahoma" w:cs="Tahoma" w:hAnsi="Tahoma"/>
          <w:b/>
          <w:sz w:val="24"/>
          <w:szCs w:val="24"/>
        </w:rPr>
        <w:t>Statutory Allocations</w:t>
      </w:r>
      <w:r>
        <w:rPr>
          <w:rFonts w:ascii="Tahoma" w:cs="Tahoma" w:hAnsi="Tahoma"/>
          <w:bCs/>
          <w:sz w:val="24"/>
          <w:szCs w:val="24"/>
        </w:rPr>
        <w:t xml:space="preserve"> – the estimation for statutory allocation is based on an elasticity forecast</w:t>
      </w:r>
      <w:r>
        <w:rPr>
          <w:rFonts w:ascii="Tahoma" w:cs="Tahoma" w:hAnsi="Tahoma"/>
          <w:bCs/>
          <w:sz w:val="24"/>
          <w:szCs w:val="24"/>
        </w:rPr>
        <w:t xml:space="preserve"> </w:t>
      </w:r>
      <w:r>
        <w:rPr>
          <w:rFonts w:ascii="Tahoma" w:cs="Tahoma" w:hAnsi="Tahoma"/>
          <w:bCs/>
          <w:sz w:val="24"/>
          <w:szCs w:val="24"/>
        </w:rPr>
        <w:t>taking into consideration the macroeconomic framework (national) and the mineral assumptions in the 202</w:t>
      </w:r>
      <w:r>
        <w:rPr>
          <w:rFonts w:ascii="Tahoma" w:cs="Tahoma" w:hAnsi="Tahoma"/>
          <w:bCs/>
          <w:sz w:val="24"/>
          <w:szCs w:val="24"/>
        </w:rPr>
        <w:t>2</w:t>
      </w:r>
      <w:r>
        <w:rPr>
          <w:rFonts w:ascii="Tahoma" w:cs="Tahoma" w:hAnsi="Tahoma"/>
          <w:bCs/>
          <w:sz w:val="24"/>
          <w:szCs w:val="24"/>
        </w:rPr>
        <w:t>-202</w:t>
      </w:r>
      <w:r>
        <w:rPr>
          <w:rFonts w:ascii="Tahoma" w:cs="Tahoma" w:hAnsi="Tahoma"/>
          <w:bCs/>
          <w:sz w:val="24"/>
          <w:szCs w:val="24"/>
        </w:rPr>
        <w:t>4</w:t>
      </w:r>
      <w:r>
        <w:rPr>
          <w:rFonts w:ascii="Tahoma" w:cs="Tahoma" w:hAnsi="Tahoma"/>
          <w:bCs/>
          <w:sz w:val="24"/>
          <w:szCs w:val="24"/>
        </w:rPr>
        <w:t xml:space="preserve"> Federal Fiscal Strategy Paper. It is based on historical mineral revenues flows and elasticity-based forecast using national Real GDP and inflation data. </w:t>
      </w:r>
    </w:p>
    <w:p>
      <w:pPr>
        <w:pStyle w:val="style0"/>
        <w:spacing w:lineRule="auto" w:line="360"/>
        <w:rPr>
          <w:rFonts w:ascii="Tahoma" w:cs="Tahoma" w:hAnsi="Tahoma"/>
          <w:bCs/>
          <w:sz w:val="24"/>
          <w:szCs w:val="24"/>
        </w:rPr>
      </w:pPr>
      <w:r>
        <w:rPr>
          <w:rFonts w:ascii="Tahoma" w:cs="Tahoma" w:hAnsi="Tahoma"/>
          <w:b/>
          <w:sz w:val="24"/>
          <w:szCs w:val="24"/>
        </w:rPr>
        <w:t>VAT</w:t>
      </w:r>
      <w:r>
        <w:rPr>
          <w:rFonts w:ascii="Tahoma" w:cs="Tahoma" w:hAnsi="Tahoma"/>
          <w:bCs/>
          <w:sz w:val="24"/>
          <w:szCs w:val="24"/>
        </w:rPr>
        <w:t xml:space="preserve"> – is based on elasticity forecast using the combined change in GDP and inflation rate. The estimate for 2020-2022 is in line with the current rate of collections due to covid-19 pandemic be revisited if there are any changes to the VAT rates as proposed in the previous forecast. </w:t>
      </w:r>
    </w:p>
    <w:p>
      <w:pPr>
        <w:pStyle w:val="style0"/>
        <w:spacing w:lineRule="auto" w:line="360"/>
        <w:rPr>
          <w:rFonts w:ascii="Tahoma" w:cs="Tahoma" w:hAnsi="Tahoma"/>
          <w:bCs/>
          <w:sz w:val="24"/>
          <w:szCs w:val="24"/>
        </w:rPr>
      </w:pPr>
      <w:r>
        <w:rPr>
          <w:rFonts w:ascii="Tahoma" w:cs="Tahoma" w:hAnsi="Tahoma"/>
          <w:b/>
          <w:sz w:val="24"/>
          <w:szCs w:val="24"/>
        </w:rPr>
        <w:t>Other Federation Account Distributions</w:t>
      </w:r>
      <w:r>
        <w:rPr>
          <w:rFonts w:ascii="Tahoma" w:cs="Tahoma" w:hAnsi="Tahoma"/>
          <w:bCs/>
          <w:sz w:val="24"/>
          <w:szCs w:val="24"/>
        </w:rPr>
        <w:t xml:space="preserve"> – the estimation is based on the current receipt (i.e. from</w:t>
      </w:r>
      <w:r>
        <w:rPr>
          <w:rFonts w:ascii="Tahoma" w:cs="Tahoma" w:hAnsi="Tahoma"/>
          <w:bCs/>
          <w:sz w:val="24"/>
          <w:szCs w:val="24"/>
        </w:rPr>
        <w:t xml:space="preserve"> </w:t>
      </w:r>
      <w:r>
        <w:rPr>
          <w:rFonts w:ascii="Tahoma" w:cs="Tahoma" w:hAnsi="Tahoma"/>
          <w:bCs/>
          <w:sz w:val="24"/>
          <w:szCs w:val="24"/>
        </w:rPr>
        <w:t xml:space="preserve">January to May, 2020). Furthermore, it is anticipated that new FAAC </w:t>
      </w:r>
      <w:r>
        <w:rPr>
          <w:rFonts w:ascii="Tahoma" w:cs="Tahoma" w:hAnsi="Tahoma"/>
          <w:bCs/>
          <w:sz w:val="24"/>
          <w:szCs w:val="24"/>
        </w:rPr>
        <w:t xml:space="preserve">will investigate the crises that caused by the advent of the covid-19 pandemic so that the sharing formula would be investigate carefully. </w:t>
      </w:r>
    </w:p>
    <w:p>
      <w:pPr>
        <w:pStyle w:val="style0"/>
        <w:spacing w:lineRule="auto" w:line="360"/>
        <w:jc w:val="both"/>
        <w:rPr>
          <w:rFonts w:ascii="Tahoma" w:cs="Tahoma" w:hAnsi="Tahoma"/>
          <w:bCs/>
          <w:sz w:val="24"/>
          <w:szCs w:val="24"/>
        </w:rPr>
      </w:pPr>
      <w:r>
        <w:rPr>
          <w:rFonts w:ascii="Tahoma" w:cs="Tahoma" w:hAnsi="Tahoma"/>
          <w:b/>
          <w:sz w:val="24"/>
          <w:szCs w:val="24"/>
        </w:rPr>
        <w:t>Internally Generated Revenue (IGR)</w:t>
      </w:r>
      <w:r>
        <w:rPr>
          <w:rFonts w:ascii="Tahoma" w:cs="Tahoma" w:hAnsi="Tahoma"/>
          <w:bCs/>
          <w:sz w:val="24"/>
          <w:szCs w:val="24"/>
        </w:rPr>
        <w:t xml:space="preserve"> –</w:t>
      </w:r>
      <w:r>
        <w:rPr>
          <w:rFonts w:ascii="Tahoma" w:cs="Tahoma" w:hAnsi="Tahoma"/>
          <w:bCs/>
          <w:sz w:val="24"/>
          <w:szCs w:val="24"/>
        </w:rPr>
        <w:t xml:space="preserve"> The key issue with IGR, as identified in figure 9: IGR above is whether the 2020 figure was a “one-off” drop and the IGR will return to the 2016 trend in 2020 and beyond. It is assumed that this will be the case. This assumption is based on the following: Mapping of informal sector resulting in broadened tax base; Passage of MDAs revenue harmonization law creating collection and administration efficiencies and blocking leakages, and reduction in multiple taxation; Re-structuring of the Kano Internal Revenue Service resulting for efficiencies, The resolve of the new national administration to conquer the security challenges for improved business environment and economic activities; </w:t>
      </w:r>
      <w:r>
        <w:rPr>
          <w:rFonts w:ascii="Tahoma" w:cs="Tahoma" w:hAnsi="Tahoma"/>
          <w:bCs/>
          <w:sz w:val="24"/>
          <w:szCs w:val="24"/>
        </w:rPr>
        <w:t xml:space="preserve"> Policy of the present administration to shift tax burden to the wealthy individuals. </w:t>
      </w:r>
      <w:r>
        <w:rPr>
          <w:rFonts w:ascii="Tahoma" w:cs="Tahoma" w:hAnsi="Tahoma"/>
          <w:bCs/>
          <w:sz w:val="24"/>
          <w:szCs w:val="24"/>
        </w:rPr>
        <w:t xml:space="preserve"> Introduction of new land use levies and charges; Review of Kano state revenue administration law; Waver to the taxpayers due to </w:t>
      </w:r>
      <w:r>
        <w:rPr>
          <w:rFonts w:ascii="Tahoma" w:cs="Tahoma" w:hAnsi="Tahoma"/>
          <w:bCs/>
          <w:sz w:val="24"/>
          <w:szCs w:val="24"/>
        </w:rPr>
        <w:t>covid</w:t>
      </w:r>
      <w:r>
        <w:rPr>
          <w:rFonts w:ascii="Tahoma" w:cs="Tahoma" w:hAnsi="Tahoma"/>
          <w:bCs/>
          <w:sz w:val="24"/>
          <w:szCs w:val="24"/>
        </w:rPr>
        <w:t xml:space="preserve"> 19 pandemic; It is assumed that with the implementation of the above reform the future revenue collection will improve by reaching target level and growing by 5% annually. All subsequent years’ collection should be properly monitored regularly to assess whether the target will be achievable.</w:t>
      </w:r>
    </w:p>
    <w:p>
      <w:pPr>
        <w:pStyle w:val="style0"/>
        <w:spacing w:lineRule="auto" w:line="360"/>
        <w:jc w:val="both"/>
        <w:rPr>
          <w:rFonts w:ascii="Tahoma" w:cs="Tahoma" w:hAnsi="Tahoma"/>
          <w:bCs/>
          <w:sz w:val="24"/>
          <w:szCs w:val="24"/>
        </w:rPr>
      </w:pPr>
      <w:r>
        <w:rPr>
          <w:rFonts w:ascii="Tahoma" w:cs="Tahoma" w:hAnsi="Tahoma"/>
          <w:b/>
          <w:sz w:val="24"/>
          <w:szCs w:val="24"/>
        </w:rPr>
        <w:t>Grants</w:t>
      </w:r>
      <w:r>
        <w:rPr>
          <w:rFonts w:ascii="Tahoma" w:cs="Tahoma" w:hAnsi="Tahoma"/>
          <w:bCs/>
          <w:sz w:val="24"/>
          <w:szCs w:val="24"/>
        </w:rPr>
        <w:t xml:space="preserve"> – the internal grants are mostly based on the actual receipts and performance</w:t>
      </w:r>
      <w:r>
        <w:rPr>
          <w:rFonts w:ascii="Tahoma" w:cs="Tahoma" w:hAnsi="Tahoma"/>
          <w:bCs/>
          <w:sz w:val="24"/>
          <w:szCs w:val="24"/>
        </w:rPr>
        <w:t xml:space="preserve"> for 2021</w:t>
      </w:r>
      <w:r>
        <w:rPr>
          <w:rFonts w:ascii="Tahoma" w:cs="Tahoma" w:hAnsi="Tahoma"/>
          <w:bCs/>
          <w:sz w:val="24"/>
          <w:szCs w:val="24"/>
        </w:rPr>
        <w:t xml:space="preserve">. External grants are mostly based on signed grant agreements with the World Bank, UNICEF, EU </w:t>
      </w:r>
      <w:r>
        <w:rPr>
          <w:rFonts w:ascii="Tahoma" w:cs="Tahoma" w:hAnsi="Tahoma"/>
          <w:bCs/>
          <w:sz w:val="24"/>
          <w:szCs w:val="24"/>
        </w:rPr>
        <w:t>etc</w:t>
      </w:r>
      <w:r>
        <w:rPr>
          <w:rFonts w:ascii="Tahoma" w:cs="Tahoma" w:hAnsi="Tahoma"/>
          <w:bCs/>
          <w:sz w:val="24"/>
          <w:szCs w:val="24"/>
        </w:rPr>
        <w:t xml:space="preserve"> </w:t>
      </w:r>
    </w:p>
    <w:p>
      <w:pPr>
        <w:pStyle w:val="style0"/>
        <w:spacing w:lineRule="auto" w:line="360"/>
        <w:jc w:val="both"/>
        <w:rPr>
          <w:rFonts w:ascii="Tahoma" w:cs="Tahoma" w:hAnsi="Tahoma"/>
          <w:bCs/>
          <w:sz w:val="24"/>
          <w:szCs w:val="24"/>
        </w:rPr>
      </w:pPr>
      <w:r>
        <w:rPr>
          <w:rFonts w:ascii="Tahoma" w:cs="Tahoma" w:hAnsi="Tahoma"/>
          <w:b/>
          <w:sz w:val="24"/>
          <w:szCs w:val="24"/>
        </w:rPr>
        <w:t>Other Non-Debt Creating Capital Receipts</w:t>
      </w:r>
      <w:r>
        <w:rPr>
          <w:rFonts w:ascii="Tahoma" w:cs="Tahoma" w:hAnsi="Tahoma"/>
          <w:bCs/>
          <w:sz w:val="24"/>
          <w:szCs w:val="24"/>
        </w:rPr>
        <w:t xml:space="preserve"> - Consolidated Revenue Fund Charges – CRF constitute pension contribution, Public Debt Charges, Office of the Auditor General State, House of Assembly, of the Auditor General Local </w:t>
      </w:r>
      <w:r>
        <w:rPr>
          <w:rFonts w:ascii="Tahoma" w:cs="Tahoma" w:hAnsi="Tahoma"/>
          <w:bCs/>
          <w:sz w:val="24"/>
          <w:szCs w:val="24"/>
        </w:rPr>
        <w:t>Govt</w:t>
      </w:r>
      <w:r>
        <w:rPr>
          <w:rFonts w:ascii="Tahoma" w:cs="Tahoma" w:hAnsi="Tahoma"/>
          <w:bCs/>
          <w:sz w:val="24"/>
          <w:szCs w:val="24"/>
        </w:rPr>
        <w:t>, Judiciary etc. The 2021 provision are 7.7 billion own value projection.</w:t>
      </w:r>
    </w:p>
    <w:p>
      <w:pPr>
        <w:pStyle w:val="style0"/>
        <w:spacing w:lineRule="auto" w:line="360"/>
        <w:jc w:val="both"/>
        <w:rPr>
          <w:rFonts w:ascii="Tahoma" w:cs="Tahoma" w:hAnsi="Tahoma"/>
          <w:bCs/>
          <w:sz w:val="24"/>
          <w:szCs w:val="24"/>
        </w:rPr>
      </w:pPr>
      <w:r>
        <w:rPr>
          <w:rFonts w:ascii="Tahoma" w:cs="Tahoma" w:hAnsi="Tahoma"/>
          <w:b/>
          <w:sz w:val="24"/>
          <w:szCs w:val="24"/>
        </w:rPr>
        <w:t>Financing (Net Loans)</w:t>
      </w:r>
      <w:r>
        <w:rPr>
          <w:rFonts w:ascii="Tahoma" w:cs="Tahoma" w:hAnsi="Tahoma"/>
          <w:bCs/>
          <w:sz w:val="24"/>
          <w:szCs w:val="24"/>
        </w:rPr>
        <w:t xml:space="preserve"> – the internal and external loans are projections based on agreement </w:t>
      </w:r>
      <w:r>
        <w:rPr>
          <w:rFonts w:ascii="Tahoma" w:cs="Tahoma" w:hAnsi="Tahoma"/>
          <w:bCs/>
          <w:sz w:val="24"/>
          <w:szCs w:val="24"/>
        </w:rPr>
        <w:t>K</w:t>
      </w:r>
      <w:r>
        <w:rPr>
          <w:rFonts w:ascii="Tahoma" w:cs="Tahoma" w:hAnsi="Tahoma"/>
          <w:bCs/>
          <w:sz w:val="24"/>
          <w:szCs w:val="24"/>
        </w:rPr>
        <w:t>GS 202</w:t>
      </w:r>
      <w:r>
        <w:rPr>
          <w:rFonts w:ascii="Tahoma" w:cs="Tahoma" w:hAnsi="Tahoma"/>
          <w:bCs/>
          <w:sz w:val="24"/>
          <w:szCs w:val="24"/>
        </w:rPr>
        <w:t>2</w:t>
      </w:r>
      <w:r>
        <w:rPr>
          <w:rFonts w:ascii="Tahoma" w:cs="Tahoma" w:hAnsi="Tahoma"/>
          <w:bCs/>
          <w:sz w:val="24"/>
          <w:szCs w:val="24"/>
        </w:rPr>
        <w:t>-202</w:t>
      </w:r>
      <w:r>
        <w:rPr>
          <w:rFonts w:ascii="Tahoma" w:cs="Tahoma" w:hAnsi="Tahoma"/>
          <w:bCs/>
          <w:sz w:val="24"/>
          <w:szCs w:val="24"/>
        </w:rPr>
        <w:t>3</w:t>
      </w:r>
      <w:r>
        <w:rPr>
          <w:rFonts w:ascii="Tahoma" w:cs="Tahoma" w:hAnsi="Tahoma"/>
          <w:bCs/>
          <w:sz w:val="24"/>
          <w:szCs w:val="24"/>
        </w:rPr>
        <w:t xml:space="preserve"> EFU-FSP-BPS Consolidated Revenue Fund Charges – this includes public debt charges (which is external debt servicing) which is changing in medium term. The estimation is own value determined based on the debt servicing costs (principal and interest repayment) for 202</w:t>
      </w:r>
      <w:r>
        <w:rPr>
          <w:rFonts w:ascii="Tahoma" w:cs="Tahoma" w:hAnsi="Tahoma"/>
          <w:bCs/>
          <w:sz w:val="24"/>
          <w:szCs w:val="24"/>
        </w:rPr>
        <w:t>2</w:t>
      </w:r>
      <w:r>
        <w:rPr>
          <w:rFonts w:ascii="Tahoma" w:cs="Tahoma" w:hAnsi="Tahoma"/>
          <w:bCs/>
          <w:sz w:val="24"/>
          <w:szCs w:val="24"/>
        </w:rPr>
        <w:t>-202</w:t>
      </w:r>
      <w:r>
        <w:rPr>
          <w:rFonts w:ascii="Tahoma" w:cs="Tahoma" w:hAnsi="Tahoma"/>
          <w:bCs/>
          <w:sz w:val="24"/>
          <w:szCs w:val="24"/>
        </w:rPr>
        <w:t>4</w:t>
      </w:r>
      <w:r>
        <w:rPr>
          <w:rFonts w:ascii="Tahoma" w:cs="Tahoma" w:hAnsi="Tahoma"/>
          <w:bCs/>
          <w:sz w:val="24"/>
          <w:szCs w:val="24"/>
        </w:rPr>
        <w:t xml:space="preserve"> </w:t>
      </w:r>
    </w:p>
    <w:p>
      <w:pPr>
        <w:pStyle w:val="style0"/>
        <w:spacing w:lineRule="auto" w:line="360"/>
        <w:jc w:val="both"/>
        <w:rPr>
          <w:rFonts w:ascii="Tahoma" w:cs="Tahoma" w:hAnsi="Tahoma"/>
          <w:bCs/>
          <w:sz w:val="24"/>
          <w:szCs w:val="24"/>
        </w:rPr>
      </w:pPr>
      <w:r>
        <w:rPr>
          <w:rFonts w:ascii="Tahoma" w:cs="Tahoma" w:hAnsi="Tahoma"/>
          <w:b/>
          <w:sz w:val="24"/>
          <w:szCs w:val="24"/>
        </w:rPr>
        <w:t xml:space="preserve">Personnel </w:t>
      </w:r>
      <w:r>
        <w:rPr>
          <w:rFonts w:ascii="Tahoma" w:cs="Tahoma" w:hAnsi="Tahoma"/>
          <w:bCs/>
          <w:sz w:val="24"/>
          <w:szCs w:val="24"/>
        </w:rPr>
        <w:t xml:space="preserve">– it is anticipated that the new minimum wage will definitely have a negative impact on staff new recruitment because of the burden on the side of the government. This to some extent will reduce the state contribution for Contributory Pension Scheme in the state. </w:t>
      </w:r>
    </w:p>
    <w:p>
      <w:pPr>
        <w:pStyle w:val="style0"/>
        <w:spacing w:lineRule="auto" w:line="360"/>
        <w:jc w:val="both"/>
        <w:rPr>
          <w:rFonts w:ascii="Tahoma" w:cs="Tahoma" w:hAnsi="Tahoma"/>
          <w:bCs/>
          <w:sz w:val="24"/>
          <w:szCs w:val="24"/>
        </w:rPr>
      </w:pPr>
      <w:r>
        <w:rPr>
          <w:rFonts w:ascii="Tahoma" w:cs="Tahoma" w:hAnsi="Tahoma"/>
          <w:b/>
          <w:sz w:val="24"/>
          <w:szCs w:val="24"/>
        </w:rPr>
        <w:t>Overheads</w:t>
      </w:r>
      <w:r>
        <w:rPr>
          <w:rFonts w:ascii="Tahoma" w:cs="Tahoma" w:hAnsi="Tahoma"/>
          <w:bCs/>
          <w:sz w:val="24"/>
          <w:szCs w:val="24"/>
        </w:rPr>
        <w:t xml:space="preserve"> – </w:t>
      </w:r>
      <w:r>
        <w:rPr>
          <w:rFonts w:ascii="Tahoma" w:cs="Tahoma" w:hAnsi="Tahoma"/>
          <w:bCs/>
          <w:sz w:val="24"/>
          <w:szCs w:val="24"/>
        </w:rPr>
        <w:t>Overheads – The drop</w:t>
      </w:r>
      <w:r>
        <w:rPr>
          <w:rFonts w:ascii="Tahoma" w:cs="Tahoma" w:hAnsi="Tahoma"/>
          <w:bCs/>
          <w:sz w:val="24"/>
          <w:szCs w:val="24"/>
        </w:rPr>
        <w:t xml:space="preserve"> </w:t>
      </w:r>
      <w:r>
        <w:rPr>
          <w:rFonts w:ascii="Tahoma" w:cs="Tahoma" w:hAnsi="Tahoma"/>
          <w:bCs/>
          <w:sz w:val="24"/>
          <w:szCs w:val="24"/>
        </w:rPr>
        <w:t>in overheads in 2021 was a result of likely to reduced revenues (IGR and Federal Transfers). The forecasts for 2022 - 2024 assume that the overhead expenditure will remain as that of 2021, and then it will grow at 5% annually thereafter. This should be considered within the context of the new administration’s policy priorities, and also first and second quarter performance figures for 2021 should also be used to guide</w:t>
      </w:r>
      <w:r>
        <w:rPr>
          <w:rFonts w:ascii="Tahoma" w:cs="Tahoma" w:hAnsi="Tahoma"/>
          <w:bCs/>
          <w:sz w:val="24"/>
          <w:szCs w:val="24"/>
        </w:rPr>
        <w:t xml:space="preserve">. </w:t>
      </w:r>
    </w:p>
    <w:p>
      <w:pPr>
        <w:pStyle w:val="style0"/>
        <w:spacing w:lineRule="auto" w:line="360"/>
        <w:jc w:val="both"/>
        <w:rPr>
          <w:rFonts w:ascii="Tahoma" w:cs="Tahoma" w:hAnsi="Tahoma"/>
          <w:bCs/>
          <w:sz w:val="24"/>
          <w:szCs w:val="24"/>
        </w:rPr>
      </w:pPr>
      <w:r>
        <w:rPr>
          <w:rFonts w:ascii="Tahoma" w:cs="Tahoma" w:hAnsi="Tahoma"/>
          <w:b/>
          <w:sz w:val="24"/>
          <w:szCs w:val="24"/>
        </w:rPr>
        <w:t>Capital Expenditure</w:t>
      </w:r>
      <w:r>
        <w:rPr>
          <w:rFonts w:ascii="Tahoma" w:cs="Tahoma" w:hAnsi="Tahoma"/>
          <w:bCs/>
          <w:sz w:val="24"/>
          <w:szCs w:val="24"/>
        </w:rPr>
        <w:t xml:space="preserve"> – </w:t>
      </w:r>
      <w:r>
        <w:rPr>
          <w:rFonts w:ascii="Tahoma" w:cs="Tahoma" w:hAnsi="Tahoma"/>
          <w:bCs/>
          <w:sz w:val="24"/>
          <w:szCs w:val="24"/>
        </w:rPr>
        <w:t>Capital expenditure by sector – Educational sector has the largest allocation of followed by infrastructure sector then Health sector with the allocation of as well as Governance Sector with and water sector with the allocation of 7.36%</w:t>
      </w:r>
      <w:r>
        <w:rPr>
          <w:rFonts w:ascii="Tahoma" w:cs="Tahoma" w:hAnsi="Tahoma"/>
          <w:bCs/>
          <w:sz w:val="24"/>
          <w:szCs w:val="24"/>
        </w:rPr>
        <w:t>.</w:t>
      </w:r>
    </w:p>
    <w:p>
      <w:pPr>
        <w:pStyle w:val="style0"/>
        <w:spacing w:lineRule="auto" w:line="360"/>
        <w:rPr>
          <w:rFonts w:ascii="Leelawadee" w:cs="Leelawadee" w:hAnsi="Leelawadee"/>
          <w:b/>
        </w:rPr>
        <w:sectPr>
          <w:footerReference w:type="default" r:id="rId18"/>
          <w:type w:val="nextColumn"/>
          <w:pgSz w:w="12240" w:h="15840" w:orient="portrait"/>
          <w:pgMar w:top="709" w:right="1440" w:bottom="1440" w:left="1440" w:header="720" w:footer="720" w:gutter="0"/>
          <w:paperSrc w:first="15"/>
          <w:cols w:space="720"/>
          <w:docGrid w:linePitch="360"/>
        </w:sectPr>
      </w:pPr>
    </w:p>
    <w:p>
      <w:pPr>
        <w:pStyle w:val="style0"/>
        <w:spacing w:lineRule="auto" w:line="360"/>
        <w:rPr>
          <w:rFonts w:ascii="Leelawadee" w:cs="Leelawadee" w:hAnsi="Leelawadee"/>
          <w:b/>
        </w:rPr>
        <w:sectPr>
          <w:type w:val="nextColumn"/>
          <w:pgSz w:w="15840" w:h="12240" w:orient="landscape"/>
          <w:pgMar w:top="1440" w:right="709" w:bottom="1440" w:left="1440" w:header="720" w:footer="720" w:gutter="0"/>
          <w:cols w:space="720"/>
          <w:docGrid w:linePitch="360"/>
        </w:sectPr>
      </w:pPr>
      <w:r>
        <w:rPr>
          <w:noProof/>
        </w:rPr>
        <w:drawing>
          <wp:inline distL="0" distT="0" distB="0" distR="0">
            <wp:extent cx="8229600" cy="5943600"/>
            <wp:effectExtent l="0" t="0" r="0" b="0"/>
            <wp:docPr id="1042" name="Picture 2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Picture 24"/>
                    <pic:cNvPicPr/>
                  </pic:nvPicPr>
                  <pic:blipFill>
                    <a:blip r:embed="rId19" cstate="print"/>
                    <a:srcRect l="0" t="0" r="0" b="0"/>
                    <a:stretch/>
                  </pic:blipFill>
                  <pic:spPr>
                    <a:xfrm rot="0">
                      <a:off x="0" y="0"/>
                      <a:ext cx="8229600" cy="5943600"/>
                    </a:xfrm>
                    <a:prstGeom prst="rect"/>
                    <a:ln>
                      <a:noFill/>
                    </a:ln>
                  </pic:spPr>
                </pic:pic>
              </a:graphicData>
            </a:graphic>
          </wp:inline>
        </w:drawing>
      </w:r>
    </w:p>
    <w:p>
      <w:pPr>
        <w:pStyle w:val="style0"/>
        <w:spacing w:lineRule="auto" w:line="360"/>
        <w:rPr>
          <w:rFonts w:ascii="Leelawadee" w:cs="Leelawadee" w:hAnsi="Leelawadee"/>
          <w:b/>
        </w:rPr>
      </w:pPr>
    </w:p>
    <w:bookmarkStart w:id="11" w:name="_Toc116071689"/>
    <w:p>
      <w:pPr>
        <w:pStyle w:val="style2"/>
        <w:rPr>
          <w:rFonts w:ascii="Leelawadee" w:cs="Leelawadee" w:hAnsi="Leelawadee"/>
          <w:b w:val="false"/>
          <w:bCs w:val="false"/>
          <w:sz w:val="24"/>
          <w:szCs w:val="24"/>
        </w:rPr>
      </w:pPr>
      <w:r>
        <w:rPr>
          <w:rFonts w:ascii="Leelawadee" w:cs="Leelawadee" w:hAnsi="Leelawadee"/>
          <w:b w:val="false"/>
          <w:bCs w:val="false"/>
          <w:sz w:val="24"/>
          <w:szCs w:val="24"/>
        </w:rPr>
        <w:t xml:space="preserve">Annex II: </w:t>
      </w:r>
      <w:r>
        <w:rPr>
          <w:rFonts w:ascii="Leelawadee" w:cs="Leelawadee" w:hAnsi="Leelawadee"/>
          <w:b w:val="false"/>
          <w:bCs w:val="false"/>
          <w:sz w:val="24"/>
          <w:szCs w:val="24"/>
        </w:rPr>
        <w:t>Kano</w:t>
      </w:r>
      <w:r>
        <w:rPr>
          <w:rFonts w:ascii="Leelawadee" w:cs="Leelawadee" w:hAnsi="Leelawadee"/>
          <w:b w:val="false"/>
          <w:bCs w:val="false"/>
          <w:sz w:val="24"/>
          <w:szCs w:val="24"/>
        </w:rPr>
        <w:t xml:space="preserve"> State Baseline Scenarios, 20</w:t>
      </w:r>
      <w:r>
        <w:rPr>
          <w:rFonts w:ascii="Leelawadee" w:cs="Leelawadee" w:hAnsi="Leelawadee"/>
          <w:b w:val="false"/>
          <w:bCs w:val="false"/>
          <w:sz w:val="24"/>
          <w:szCs w:val="24"/>
        </w:rPr>
        <w:t>17</w:t>
      </w:r>
      <w:r>
        <w:rPr>
          <w:rFonts w:ascii="Leelawadee" w:cs="Leelawadee" w:hAnsi="Leelawadee"/>
          <w:b w:val="false"/>
          <w:bCs w:val="false"/>
          <w:sz w:val="24"/>
          <w:szCs w:val="24"/>
        </w:rPr>
        <w:t>-20</w:t>
      </w:r>
      <w:r>
        <w:rPr>
          <w:rFonts w:ascii="Leelawadee" w:cs="Leelawadee" w:hAnsi="Leelawadee"/>
          <w:b w:val="false"/>
          <w:bCs w:val="false"/>
          <w:sz w:val="24"/>
          <w:szCs w:val="24"/>
        </w:rPr>
        <w:t>3</w:t>
      </w:r>
      <w:r>
        <w:rPr>
          <w:rFonts w:ascii="Leelawadee" w:cs="Leelawadee" w:hAnsi="Leelawadee"/>
          <w:b w:val="false"/>
          <w:bCs w:val="false"/>
          <w:sz w:val="24"/>
          <w:szCs w:val="24"/>
        </w:rPr>
        <w:t>1</w:t>
      </w:r>
      <w:bookmarkEnd w:id="11"/>
    </w:p>
    <w:p>
      <w:pPr>
        <w:pStyle w:val="style0"/>
        <w:spacing w:lineRule="auto" w:line="360"/>
        <w:rPr>
          <w:rFonts w:ascii="Leelawadee" w:cs="Leelawadee" w:hAnsi="Leelawadee"/>
          <w:b/>
        </w:rPr>
      </w:pPr>
      <w:r>
        <w:rPr>
          <w:noProof/>
        </w:rPr>
        <w:drawing>
          <wp:inline distL="0" distT="0" distB="0" distR="0">
            <wp:extent cx="8392795" cy="5606142"/>
            <wp:effectExtent l="0" t="0" r="8255" b="0"/>
            <wp:docPr id="1043" name="Picture 2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Picture 25"/>
                    <pic:cNvPicPr/>
                  </pic:nvPicPr>
                  <pic:blipFill>
                    <a:blip r:embed="rId20" cstate="print"/>
                    <a:srcRect l="0" t="0" r="0" b="0"/>
                    <a:stretch/>
                  </pic:blipFill>
                  <pic:spPr>
                    <a:xfrm rot="0">
                      <a:off x="0" y="0"/>
                      <a:ext cx="8392795" cy="5606142"/>
                    </a:xfrm>
                    <a:prstGeom prst="rect"/>
                    <a:ln>
                      <a:noFill/>
                    </a:ln>
                  </pic:spPr>
                </pic:pic>
              </a:graphicData>
            </a:graphic>
          </wp:inline>
        </w:drawing>
      </w:r>
    </w:p>
    <w:p>
      <w:pPr>
        <w:pStyle w:val="style0"/>
        <w:spacing w:after="0" w:lineRule="auto" w:line="360"/>
        <w:rPr>
          <w:rFonts w:ascii="Leelawadee" w:cs="Leelawadee" w:hAnsi="Leelawadee"/>
          <w:b/>
        </w:rPr>
      </w:pPr>
      <w:r>
        <w:rPr>
          <w:rFonts w:ascii="Leelawadee" w:cs="Leelawadee" w:hAnsi="Leelawadee"/>
          <w:b/>
          <w:i/>
          <w:iCs/>
        </w:rPr>
        <w:t xml:space="preserve">Annex II: </w:t>
      </w:r>
      <w:r>
        <w:rPr>
          <w:rFonts w:ascii="Leelawadee" w:cs="Leelawadee" w:hAnsi="Leelawadee"/>
          <w:b/>
          <w:i/>
          <w:iCs/>
        </w:rPr>
        <w:t>Kano</w:t>
      </w:r>
      <w:r>
        <w:rPr>
          <w:rFonts w:ascii="Leelawadee" w:cs="Leelawadee" w:hAnsi="Leelawadee"/>
          <w:b/>
          <w:i/>
          <w:iCs/>
        </w:rPr>
        <w:t xml:space="preserve"> State Baseline Scenarios, 20</w:t>
      </w:r>
      <w:r>
        <w:rPr>
          <w:rFonts w:ascii="Leelawadee" w:cs="Leelawadee" w:hAnsi="Leelawadee"/>
          <w:b/>
          <w:i/>
          <w:iCs/>
        </w:rPr>
        <w:t>17</w:t>
      </w:r>
      <w:r>
        <w:rPr>
          <w:rFonts w:ascii="Leelawadee" w:cs="Leelawadee" w:hAnsi="Leelawadee"/>
          <w:b/>
          <w:i/>
          <w:iCs/>
        </w:rPr>
        <w:t>-20</w:t>
      </w:r>
      <w:r>
        <w:rPr>
          <w:rFonts w:ascii="Leelawadee" w:cs="Leelawadee" w:hAnsi="Leelawadee"/>
          <w:b/>
          <w:i/>
          <w:iCs/>
        </w:rPr>
        <w:t>3</w:t>
      </w:r>
      <w:r>
        <w:rPr>
          <w:rFonts w:ascii="Leelawadee" w:cs="Leelawadee" w:hAnsi="Leelawadee"/>
          <w:b/>
          <w:i/>
          <w:iCs/>
        </w:rPr>
        <w:t>1</w:t>
      </w:r>
      <w:r>
        <w:rPr>
          <w:rFonts w:ascii="Leelawadee" w:cs="Leelawadee" w:hAnsi="Leelawadee"/>
          <w:b/>
          <w:i/>
          <w:iCs/>
        </w:rPr>
        <w:t>…Cont’d</w:t>
      </w:r>
      <w:r>
        <w:rPr>
          <w:rFonts w:ascii="Leelawadee" w:cs="Leelawadee" w:hAnsi="Leelawadee"/>
          <w:b/>
          <w:i/>
          <w:iCs/>
        </w:rPr>
        <w:t xml:space="preserve"> </w:t>
      </w:r>
    </w:p>
    <w:p>
      <w:pPr>
        <w:pStyle w:val="style0"/>
        <w:spacing w:lineRule="auto" w:line="360"/>
        <w:rPr>
          <w:rFonts w:ascii="Leelawadee" w:cs="Leelawadee" w:hAnsi="Leelawadee"/>
          <w:b/>
        </w:rPr>
      </w:pPr>
      <w:r>
        <w:rPr>
          <w:noProof/>
        </w:rPr>
        <w:drawing>
          <wp:inline distL="0" distT="0" distB="0" distR="0">
            <wp:extent cx="8327389" cy="5464629"/>
            <wp:effectExtent l="0" t="0" r="0" b="3175"/>
            <wp:docPr id="1044" name="Picture 2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Picture 26"/>
                    <pic:cNvPicPr/>
                  </pic:nvPicPr>
                  <pic:blipFill>
                    <a:blip r:embed="rId21" cstate="print"/>
                    <a:srcRect l="0" t="0" r="0" b="0"/>
                    <a:stretch/>
                  </pic:blipFill>
                  <pic:spPr>
                    <a:xfrm rot="0">
                      <a:off x="0" y="0"/>
                      <a:ext cx="8327389" cy="5464629"/>
                    </a:xfrm>
                    <a:prstGeom prst="rect"/>
                    <a:ln>
                      <a:noFill/>
                    </a:ln>
                  </pic:spPr>
                </pic:pic>
              </a:graphicData>
            </a:graphic>
          </wp:inline>
        </w:drawing>
      </w:r>
    </w:p>
    <w:p>
      <w:pPr>
        <w:pStyle w:val="style0"/>
        <w:spacing w:lineRule="auto" w:line="360"/>
        <w:rPr>
          <w:rFonts w:ascii="Leelawadee" w:cs="Leelawadee" w:hAnsi="Leelawadee"/>
          <w:b/>
        </w:rPr>
        <w:sectPr>
          <w:pgSz w:w="15840" w:h="12240" w:orient="landscape"/>
          <w:pgMar w:top="1440" w:right="709" w:bottom="1440" w:left="1440" w:header="720" w:footer="720" w:gutter="0"/>
          <w:paperSrc w:first="15"/>
          <w:cols w:space="720"/>
          <w:docGrid w:linePitch="360"/>
        </w:sectPr>
      </w:pPr>
    </w:p>
    <w:bookmarkStart w:id="12" w:name="_Toc116071690"/>
    <w:p>
      <w:pPr>
        <w:pStyle w:val="style2"/>
        <w:rPr>
          <w:rFonts w:ascii="Leelawadee" w:cs="Leelawadee" w:hAnsi="Leelawadee"/>
          <w:b w:val="false"/>
          <w:bCs w:val="false"/>
          <w:sz w:val="24"/>
          <w:szCs w:val="24"/>
        </w:rPr>
      </w:pPr>
      <w:r>
        <w:rPr>
          <w:rFonts w:ascii="Leelawadee" w:cs="Leelawadee" w:hAnsi="Leelawadee"/>
          <w:b w:val="false"/>
          <w:bCs w:val="false"/>
          <w:sz w:val="24"/>
          <w:szCs w:val="24"/>
        </w:rPr>
        <w:t>Kano</w:t>
      </w:r>
      <w:r>
        <w:rPr>
          <w:rFonts w:ascii="Leelawadee" w:cs="Leelawadee" w:hAnsi="Leelawadee"/>
          <w:b w:val="false"/>
          <w:bCs w:val="false"/>
          <w:sz w:val="24"/>
          <w:szCs w:val="24"/>
        </w:rPr>
        <w:t xml:space="preserve"> State - Technical Team</w:t>
      </w:r>
      <w:bookmarkEnd w:id="12"/>
    </w:p>
    <w:p>
      <w:pPr>
        <w:pStyle w:val="style179"/>
        <w:spacing w:lineRule="auto" w:line="360"/>
        <w:ind w:left="567"/>
        <w:jc w:val="both"/>
        <w:rPr>
          <w:rFonts w:ascii="Leelawadee" w:cs="Leelawadee" w:hAnsi="Leelawadee"/>
          <w:b/>
          <w:bCs/>
        </w:rPr>
      </w:pPr>
    </w:p>
    <w:p>
      <w:pPr>
        <w:pStyle w:val="style179"/>
        <w:numPr>
          <w:ilvl w:val="0"/>
          <w:numId w:val="3"/>
        </w:numPr>
        <w:spacing w:lineRule="auto" w:line="360"/>
        <w:ind w:left="567" w:hanging="567"/>
        <w:jc w:val="both"/>
        <w:rPr>
          <w:rFonts w:ascii="Leelawadee" w:cs="Leelawadee" w:hAnsi="Leelawadee"/>
          <w:b/>
          <w:bCs/>
        </w:rPr>
      </w:pPr>
      <w:r>
        <w:rPr>
          <w:rFonts w:ascii="Leelawadee" w:cs="Leelawadee" w:hAnsi="Leelawadee"/>
          <w:b/>
          <w:bCs/>
        </w:rPr>
        <w:t>A</w:t>
      </w:r>
    </w:p>
    <w:p>
      <w:pPr>
        <w:pStyle w:val="style179"/>
        <w:numPr>
          <w:ilvl w:val="0"/>
          <w:numId w:val="3"/>
        </w:numPr>
        <w:spacing w:lineRule="auto" w:line="360"/>
        <w:ind w:left="567" w:hanging="567"/>
        <w:jc w:val="both"/>
        <w:rPr>
          <w:rFonts w:ascii="Leelawadee" w:cs="Leelawadee" w:hAnsi="Leelawadee"/>
          <w:b/>
          <w:bCs/>
        </w:rPr>
      </w:pPr>
      <w:r>
        <w:rPr>
          <w:rFonts w:ascii="Leelawadee" w:cs="Leelawadee" w:hAnsi="Leelawadee"/>
          <w:b/>
          <w:bCs/>
        </w:rPr>
        <w:t>A</w:t>
      </w:r>
    </w:p>
    <w:p>
      <w:pPr>
        <w:pStyle w:val="style179"/>
        <w:numPr>
          <w:ilvl w:val="0"/>
          <w:numId w:val="3"/>
        </w:numPr>
        <w:spacing w:lineRule="auto" w:line="360"/>
        <w:ind w:left="567" w:hanging="567"/>
        <w:jc w:val="both"/>
        <w:rPr>
          <w:rFonts w:ascii="Leelawadee" w:cs="Leelawadee" w:hAnsi="Leelawadee"/>
          <w:b/>
          <w:bCs/>
        </w:rPr>
      </w:pPr>
      <w:r>
        <w:rPr>
          <w:rFonts w:ascii="Leelawadee" w:cs="Leelawadee" w:hAnsi="Leelawadee"/>
          <w:b/>
          <w:bCs/>
        </w:rPr>
        <w:t>A</w:t>
      </w:r>
    </w:p>
    <w:p>
      <w:pPr>
        <w:pStyle w:val="style179"/>
        <w:numPr>
          <w:ilvl w:val="0"/>
          <w:numId w:val="3"/>
        </w:numPr>
        <w:spacing w:lineRule="auto" w:line="360"/>
        <w:ind w:left="567" w:hanging="567"/>
        <w:jc w:val="both"/>
        <w:rPr>
          <w:rFonts w:ascii="Leelawadee" w:cs="Leelawadee" w:hAnsi="Leelawadee"/>
          <w:b/>
          <w:bCs/>
        </w:rPr>
      </w:pPr>
      <w:r>
        <w:rPr>
          <w:rFonts w:ascii="Leelawadee" w:cs="Leelawadee" w:hAnsi="Leelawadee"/>
          <w:b/>
          <w:bCs/>
        </w:rPr>
        <w:t>A</w:t>
      </w:r>
    </w:p>
    <w:p>
      <w:pPr>
        <w:pStyle w:val="style179"/>
        <w:numPr>
          <w:ilvl w:val="0"/>
          <w:numId w:val="3"/>
        </w:numPr>
        <w:spacing w:lineRule="auto" w:line="360"/>
        <w:ind w:left="567" w:hanging="567"/>
        <w:jc w:val="both"/>
        <w:rPr>
          <w:rFonts w:ascii="Leelawadee" w:cs="Leelawadee" w:hAnsi="Leelawadee"/>
          <w:b/>
          <w:bCs/>
        </w:rPr>
      </w:pPr>
      <w:r>
        <w:rPr>
          <w:rFonts w:ascii="Leelawadee" w:cs="Leelawadee" w:hAnsi="Leelawadee"/>
          <w:b/>
          <w:bCs/>
        </w:rPr>
        <w:t>A</w:t>
      </w:r>
    </w:p>
    <w:p>
      <w:pPr>
        <w:pStyle w:val="style179"/>
        <w:numPr>
          <w:ilvl w:val="0"/>
          <w:numId w:val="3"/>
        </w:numPr>
        <w:spacing w:lineRule="auto" w:line="360"/>
        <w:ind w:left="567" w:hanging="567"/>
        <w:jc w:val="both"/>
        <w:rPr>
          <w:rFonts w:ascii="Leelawadee" w:cs="Leelawadee" w:hAnsi="Leelawadee"/>
          <w:b/>
          <w:bCs/>
        </w:rPr>
      </w:pPr>
      <w:r>
        <w:rPr>
          <w:rFonts w:ascii="Leelawadee" w:cs="Leelawadee" w:hAnsi="Leelawadee"/>
          <w:b/>
          <w:bCs/>
        </w:rPr>
        <w:t>A</w:t>
      </w:r>
    </w:p>
    <w:p>
      <w:pPr>
        <w:pStyle w:val="style0"/>
        <w:rPr/>
      </w:pPr>
    </w:p>
    <w:sectPr>
      <w:pgSz w:w="12240" w:h="15840" w:orient="portrait"/>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Tahoma">
    <w:altName w:val="Tahoma"/>
    <w:panose1 w:val="020b0604030000040204"/>
    <w:charset w:val="00"/>
    <w:family w:val="swiss"/>
    <w:pitch w:val="variable"/>
    <w:sig w:usb0="E1002EFF" w:usb1="C000605B" w:usb2="00000029" w:usb3="00000000" w:csb0="000101FF" w:csb1="00000000"/>
  </w:font>
  <w:font w:name="Calibri">
    <w:altName w:val="Calibri"/>
    <w:panose1 w:val="020f0502020000030204"/>
    <w:charset w:val="00"/>
    <w:family w:val="swiss"/>
    <w:pitch w:val="variable"/>
    <w:sig w:usb0="E0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Leelawadee">
    <w:altName w:val="Leelawadee"/>
    <w:panose1 w:val="020b0502040000020203"/>
    <w:charset w:val="00"/>
    <w:family w:val="swiss"/>
    <w:pitch w:val="variable"/>
    <w:sig w:usb0="01000003" w:usb1="00000000" w:usb2="00000000" w:usb3="00000000" w:csb0="00010001" w:csb1="00000000"/>
  </w:font>
  <w:font w:name="Arial Black">
    <w:altName w:val="Arial Black"/>
    <w:panose1 w:val="020b0a04020000020204"/>
    <w:charset w:val="00"/>
    <w:family w:val="swiss"/>
    <w:pitch w:val="variable"/>
    <w:sig w:usb0="A00002AF" w:usb1="400078FB" w:usb2="00000000" w:usb3="00000000" w:csb0="0000009F" w:csb1="00000000"/>
  </w:font>
  <w:font w:name="Segoe UI">
    <w:altName w:val="Segoe UI"/>
    <w:panose1 w:val="020b0502040000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41</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6489A50"/>
    <w:lvl w:ilvl="0" w:tplc="2000000B">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cs="Courier New" w:hAnsi="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cs="Courier New" w:hAnsi="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cs="Courier New" w:hAnsi="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
    <w:nsid w:val="00000001"/>
    <w:multiLevelType w:val="hybridMultilevel"/>
    <w:tmpl w:val="B880B9C8"/>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0000002"/>
    <w:multiLevelType w:val="hybridMultilevel"/>
    <w:tmpl w:val="B9AC7DC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0000003"/>
    <w:multiLevelType w:val="hybridMultilevel"/>
    <w:tmpl w:val="A74C970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0000004"/>
    <w:multiLevelType w:val="hybridMultilevel"/>
    <w:tmpl w:val="1DE089E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434E984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0000006"/>
    <w:multiLevelType w:val="hybridMultilevel"/>
    <w:tmpl w:val="3998F06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DE1432F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1A521F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9"/>
    <w:multiLevelType w:val="hybridMultilevel"/>
    <w:tmpl w:val="43489B3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000000A"/>
    <w:multiLevelType w:val="multilevel"/>
    <w:tmpl w:val="DBA4A72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000000B"/>
    <w:multiLevelType w:val="hybridMultilevel"/>
    <w:tmpl w:val="EAA0B24C"/>
    <w:lvl w:ilvl="0" w:tplc="2000000F">
      <w:start w:val="1"/>
      <w:numFmt w:val="decimal"/>
      <w:lvlText w:val="%1."/>
      <w:lvlJc w:val="left"/>
      <w:pPr>
        <w:ind w:left="720" w:hanging="360"/>
      </w:pPr>
    </w:lvl>
    <w:lvl w:ilvl="1" w:tplc="BA1ECA0C">
      <w:start w:val="3"/>
      <w:numFmt w:val="bullet"/>
      <w:lvlText w:val=""/>
      <w:lvlJc w:val="left"/>
      <w:pPr>
        <w:ind w:left="1440" w:hanging="360"/>
      </w:pPr>
      <w:rPr>
        <w:rFonts w:ascii="Tahoma" w:cs="Tahoma" w:eastAsia="Calibri" w:hAnsi="Tahoma"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C"/>
    <w:multiLevelType w:val="hybridMultilevel"/>
    <w:tmpl w:val="0518D3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0000000D"/>
    <w:multiLevelType w:val="hybridMultilevel"/>
    <w:tmpl w:val="9084922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C6C7184"/>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0000000F"/>
    <w:multiLevelType w:val="hybridMultilevel"/>
    <w:tmpl w:val="2C481244"/>
    <w:lvl w:ilvl="0" w:tplc="2000000B">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cs="Courier New" w:hAnsi="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cs="Courier New" w:hAnsi="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cs="Courier New" w:hAnsi="Courier New" w:hint="default"/>
      </w:rPr>
    </w:lvl>
    <w:lvl w:ilvl="8" w:tplc="20000005" w:tentative="1">
      <w:start w:val="1"/>
      <w:numFmt w:val="bullet"/>
      <w:lvlText w:val=""/>
      <w:lvlJc w:val="left"/>
      <w:pPr>
        <w:ind w:left="6906" w:hanging="360"/>
      </w:pPr>
      <w:rPr>
        <w:rFonts w:ascii="Wingdings" w:hAnsi="Wingdings" w:hint="default"/>
      </w:rPr>
    </w:lvl>
  </w:abstractNum>
  <w:num w:numId="1">
    <w:abstractNumId w:val="4"/>
  </w:num>
  <w:num w:numId="2">
    <w:abstractNumId w:val="8"/>
  </w:num>
  <w:num w:numId="3">
    <w:abstractNumId w:val="12"/>
  </w:num>
  <w:num w:numId="4">
    <w:abstractNumId w:val="14"/>
  </w:num>
  <w:num w:numId="5">
    <w:abstractNumId w:val="0"/>
  </w:num>
  <w:num w:numId="6">
    <w:abstractNumId w:val="15"/>
  </w:num>
  <w:num w:numId="7">
    <w:abstractNumId w:val="6"/>
  </w:num>
  <w:num w:numId="8">
    <w:abstractNumId w:val="13"/>
  </w:num>
  <w:num w:numId="9">
    <w:abstractNumId w:val="10"/>
  </w:num>
  <w:num w:numId="10">
    <w:abstractNumId w:val="3"/>
  </w:num>
  <w:num w:numId="11">
    <w:abstractNumId w:val="11"/>
  </w:num>
  <w:num w:numId="12">
    <w:abstractNumId w:val="1"/>
  </w:num>
  <w:num w:numId="13">
    <w:abstractNumId w:val="2"/>
  </w:num>
  <w:num w:numId="14">
    <w:abstractNumId w:val="5"/>
  </w:num>
  <w:num w:numId="15">
    <w:abstractNumId w:val="9"/>
  </w:num>
  <w:num w:numId="16">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5"/>
    <w:qFormat/>
    <w:uiPriority w:val="9"/>
    <w:pPr>
      <w:keepNext/>
      <w:keepLines/>
      <w:spacing w:before="240" w:after="0"/>
      <w:outlineLvl w:val="0"/>
    </w:pPr>
    <w:rPr>
      <w:rFonts w:ascii="Cambria" w:cs="宋体" w:eastAsia="宋体" w:hAnsi="Cambria"/>
      <w:color w:val="365f91"/>
      <w:sz w:val="32"/>
      <w:szCs w:val="32"/>
    </w:rPr>
  </w:style>
  <w:style w:type="paragraph" w:styleId="style2">
    <w:name w:val="heading 2"/>
    <w:basedOn w:val="style0"/>
    <w:next w:val="style0"/>
    <w:link w:val="style4097"/>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210e6992-8482-444d-8d35-ead8f0ce1ce5"/>
    <w:basedOn w:val="style65"/>
    <w:next w:val="style4097"/>
    <w:link w:val="style2"/>
    <w:uiPriority w:val="9"/>
    <w:rPr>
      <w:rFonts w:ascii="Cambria" w:cs="宋体" w:eastAsia="宋体" w:hAnsi="Cambria"/>
      <w:b/>
      <w:bCs/>
      <w:color w:val="4f81bd"/>
      <w:sz w:val="26"/>
      <w:szCs w:val="26"/>
    </w:rPr>
  </w:style>
  <w:style w:type="character" w:customStyle="1" w:styleId="style4098">
    <w:name w:val="Heading 3 Char_3ad3c3e1-9b8d-46d0-a10a-1f17423b5a1e"/>
    <w:basedOn w:val="style65"/>
    <w:next w:val="style4098"/>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099">
    <w:name w:val="mntl-sc-block-heading__text"/>
    <w:basedOn w:val="style65"/>
    <w:next w:val="style4099"/>
  </w:style>
  <w:style w:type="paragraph" w:customStyle="1" w:styleId="style4100">
    <w:name w:val="comp1"/>
    <w:basedOn w:val="style0"/>
    <w:next w:val="style4100"/>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mntl-sc-block-subheading__text"/>
    <w:basedOn w:val="style65"/>
    <w:next w:val="style4101"/>
  </w:style>
  <w:style w:type="character" w:customStyle="1" w:styleId="style4102">
    <w:name w:val="mntl-inline-citation"/>
    <w:basedOn w:val="style65"/>
    <w:next w:val="style4102"/>
  </w:style>
  <w:style w:type="paragraph" w:styleId="style93">
    <w:name w:val="HTML Bottom of Form"/>
    <w:basedOn w:val="style0"/>
    <w:next w:val="style0"/>
    <w:link w:val="style4103"/>
    <w:uiPriority w:val="99"/>
    <w:pPr>
      <w:pBdr>
        <w:top w:val="single" w:sz="6" w:space="1" w:color="auto"/>
      </w:pBdr>
      <w:spacing w:after="0" w:lineRule="auto" w:line="240"/>
      <w:jc w:val="center"/>
    </w:pPr>
    <w:rPr>
      <w:rFonts w:ascii="Arial" w:cs="Arial" w:eastAsia="Times New Roman" w:hAnsi="Arial"/>
      <w:vanish/>
      <w:sz w:val="16"/>
      <w:szCs w:val="16"/>
    </w:rPr>
  </w:style>
  <w:style w:type="character" w:customStyle="1" w:styleId="style4103">
    <w:name w:val="z-Bottom of Form Char"/>
    <w:basedOn w:val="style65"/>
    <w:next w:val="style4103"/>
    <w:link w:val="style93"/>
    <w:uiPriority w:val="99"/>
    <w:rPr>
      <w:rFonts w:ascii="Arial" w:cs="Arial" w:eastAsia="Times New Roman" w:hAnsi="Arial"/>
      <w:vanish/>
      <w:sz w:val="16"/>
      <w:szCs w:val="16"/>
    </w:rPr>
  </w:style>
  <w:style w:type="paragraph" w:styleId="style153">
    <w:name w:val="Balloon Text"/>
    <w:basedOn w:val="style0"/>
    <w:next w:val="style153"/>
    <w:link w:val="style4104"/>
    <w:uiPriority w:val="99"/>
    <w:pPr>
      <w:spacing w:after="0" w:lineRule="auto" w:line="240"/>
    </w:pPr>
    <w:rPr>
      <w:rFonts w:ascii="Tahoma" w:cs="Tahoma" w:hAnsi="Tahoma"/>
      <w:sz w:val="16"/>
      <w:szCs w:val="16"/>
    </w:rPr>
  </w:style>
  <w:style w:type="character" w:customStyle="1" w:styleId="style4104">
    <w:name w:val="Balloon Text Char"/>
    <w:basedOn w:val="style65"/>
    <w:next w:val="style4104"/>
    <w:link w:val="style153"/>
    <w:uiPriority w:val="99"/>
    <w:rPr>
      <w:rFonts w:ascii="Tahoma" w:cs="Tahoma" w:hAnsi="Tahoma"/>
      <w:sz w:val="16"/>
      <w:szCs w:val="16"/>
    </w:rPr>
  </w:style>
  <w:style w:type="character" w:customStyle="1" w:styleId="style4105">
    <w:name w:val="Heading 1 Char_aa2f06dd-87a0-4aa2-b50c-e554d99498da"/>
    <w:basedOn w:val="style65"/>
    <w:next w:val="style4105"/>
    <w:link w:val="style1"/>
    <w:uiPriority w:val="9"/>
    <w:rPr>
      <w:rFonts w:ascii="Cambria" w:cs="宋体" w:eastAsia="宋体" w:hAnsi="Cambria"/>
      <w:color w:val="365f91"/>
      <w:sz w:val="32"/>
      <w:szCs w:val="32"/>
    </w:rPr>
  </w:style>
  <w:style w:type="paragraph" w:styleId="style179">
    <w:name w:val="List Paragraph"/>
    <w:basedOn w:val="style0"/>
    <w:next w:val="style179"/>
    <w:link w:val="style4108"/>
    <w:qFormat/>
    <w:uiPriority w:val="34"/>
    <w:pPr>
      <w:spacing w:after="160" w:lineRule="auto" w:line="259"/>
      <w:ind w:left="720"/>
      <w:contextualSpacing/>
    </w:pPr>
    <w:rPr>
      <w:rFonts w:ascii="Calibri" w:cs="Times New Roman" w:eastAsia="Calibri" w:hAnsi="Calibri"/>
      <w:sz w:val="20"/>
      <w:szCs w:val="20"/>
    </w:rPr>
  </w:style>
  <w:style w:type="paragraph" w:styleId="style32">
    <w:name w:val="footer"/>
    <w:basedOn w:val="style0"/>
    <w:next w:val="style32"/>
    <w:link w:val="style4106"/>
    <w:uiPriority w:val="99"/>
    <w:pPr>
      <w:tabs>
        <w:tab w:val="center" w:leader="none" w:pos="4680"/>
        <w:tab w:val="right" w:leader="none" w:pos="9360"/>
      </w:tabs>
      <w:spacing w:after="0" w:lineRule="auto" w:line="240"/>
    </w:pPr>
    <w:rPr>
      <w:rFonts w:ascii="Calibri" w:cs="Times New Roman" w:eastAsia="Calibri" w:hAnsi="Calibri"/>
    </w:rPr>
  </w:style>
  <w:style w:type="character" w:customStyle="1" w:styleId="style4106">
    <w:name w:val="Footer Char_b30bd27b-c54e-4f88-91e5-3b5955d83e73"/>
    <w:basedOn w:val="style65"/>
    <w:next w:val="style4106"/>
    <w:link w:val="style32"/>
    <w:uiPriority w:val="99"/>
    <w:rPr>
      <w:rFonts w:ascii="Calibri" w:cs="Times New Roman" w:eastAsia="Calibri" w:hAnsi="Calibri"/>
    </w:rPr>
  </w:style>
  <w:style w:type="paragraph" w:styleId="style29">
    <w:name w:val="footnote text"/>
    <w:basedOn w:val="style0"/>
    <w:next w:val="style29"/>
    <w:link w:val="style4107"/>
    <w:qFormat/>
    <w:uiPriority w:val="99"/>
    <w:pPr>
      <w:spacing w:after="0" w:lineRule="auto" w:line="240"/>
    </w:pPr>
    <w:rPr>
      <w:rFonts w:ascii="Calibri" w:cs="Times New Roman" w:eastAsia="Calibri" w:hAnsi="Calibri"/>
      <w:sz w:val="20"/>
      <w:szCs w:val="20"/>
      <w:lang w:val="es-ES_tradnl"/>
    </w:rPr>
  </w:style>
  <w:style w:type="character" w:customStyle="1" w:styleId="style4107">
    <w:name w:val="Footnote Text Char"/>
    <w:basedOn w:val="style65"/>
    <w:next w:val="style4107"/>
    <w:link w:val="style29"/>
    <w:qFormat/>
    <w:uiPriority w:val="99"/>
    <w:rPr>
      <w:rFonts w:ascii="Calibri" w:cs="Times New Roman" w:eastAsia="Calibri" w:hAnsi="Calibri"/>
      <w:sz w:val="20"/>
      <w:szCs w:val="20"/>
      <w:lang w:val="es-ES_tradnl"/>
    </w:rPr>
  </w:style>
  <w:style w:type="character" w:styleId="style38">
    <w:name w:val="footnote reference"/>
    <w:next w:val="style38"/>
    <w:link w:val="style4110"/>
    <w:qFormat/>
    <w:uiPriority w:val="99"/>
    <w:rPr>
      <w:vertAlign w:val="superscript"/>
    </w:rPr>
  </w:style>
  <w:style w:type="table" w:styleId="style154">
    <w:name w:val="Table Grid"/>
    <w:basedOn w:val="style105"/>
    <w:next w:val="style154"/>
    <w:qFormat/>
    <w:uiPriority w:val="59"/>
    <w:pPr>
      <w:spacing w:after="0" w:lineRule="auto" w:line="240"/>
    </w:pPr>
    <w:rPr>
      <w:rFonts w:ascii="Calibri" w:cs="Times New Roman" w:eastAsia="Calibri" w:hAnsi="Calibri"/>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108">
    <w:name w:val="List Paragraph Char"/>
    <w:next w:val="style4108"/>
    <w:link w:val="style179"/>
    <w:qFormat/>
    <w:uiPriority w:val="34"/>
    <w:rPr>
      <w:rFonts w:ascii="Calibri" w:cs="Times New Roman" w:eastAsia="Calibri" w:hAnsi="Calibri"/>
      <w:sz w:val="20"/>
      <w:szCs w:val="20"/>
    </w:rPr>
  </w:style>
  <w:style w:type="paragraph" w:styleId="style31">
    <w:name w:val="header"/>
    <w:basedOn w:val="style0"/>
    <w:next w:val="style31"/>
    <w:link w:val="style4109"/>
    <w:uiPriority w:val="99"/>
    <w:pPr>
      <w:tabs>
        <w:tab w:val="center" w:leader="none" w:pos="4513"/>
        <w:tab w:val="right" w:leader="none" w:pos="9026"/>
      </w:tabs>
      <w:spacing w:after="0" w:lineRule="auto" w:line="240"/>
    </w:pPr>
    <w:rPr>
      <w:rFonts w:ascii="Calibri" w:cs="Times New Roman" w:eastAsia="Calibri" w:hAnsi="Calibri"/>
    </w:rPr>
  </w:style>
  <w:style w:type="character" w:customStyle="1" w:styleId="style4109">
    <w:name w:val="Header Char_0a577b43-ef91-4ad7-827d-2c5791567c13"/>
    <w:basedOn w:val="style65"/>
    <w:next w:val="style4109"/>
    <w:link w:val="style31"/>
    <w:uiPriority w:val="99"/>
    <w:rPr>
      <w:rFonts w:ascii="Calibri" w:cs="Times New Roman" w:eastAsia="Calibri" w:hAnsi="Calibri"/>
    </w:rPr>
  </w:style>
  <w:style w:type="paragraph" w:styleId="style266">
    <w:name w:val="TOC Heading"/>
    <w:basedOn w:val="style1"/>
    <w:next w:val="style0"/>
    <w:qFormat/>
    <w:uiPriority w:val="39"/>
    <w:pPr>
      <w:spacing w:lineRule="auto" w:line="259"/>
      <w:outlineLvl w:val="9"/>
    </w:pPr>
    <w:rPr>
      <w:rFonts w:ascii="Calibri Light" w:cs="Times New Roman" w:eastAsia="Times New Roman" w:hAnsi="Calibri Light"/>
      <w:color w:val="2f5496"/>
    </w:rPr>
  </w:style>
  <w:style w:type="paragraph" w:styleId="style19">
    <w:name w:val="toc 1"/>
    <w:basedOn w:val="style0"/>
    <w:next w:val="style0"/>
    <w:uiPriority w:val="39"/>
    <w:pPr>
      <w:spacing w:after="100" w:lineRule="auto" w:line="259"/>
    </w:pPr>
    <w:rPr>
      <w:rFonts w:ascii="Calibri" w:cs="Times New Roman" w:eastAsia="Calibri" w:hAnsi="Calibri"/>
    </w:rPr>
  </w:style>
  <w:style w:type="paragraph" w:styleId="style20">
    <w:name w:val="toc 2"/>
    <w:basedOn w:val="style0"/>
    <w:next w:val="style0"/>
    <w:uiPriority w:val="39"/>
    <w:pPr>
      <w:spacing w:after="100" w:lineRule="auto" w:line="259"/>
      <w:ind w:left="220"/>
    </w:pPr>
    <w:rPr>
      <w:rFonts w:ascii="Calibri" w:cs="Times New Roman" w:eastAsia="Calibri" w:hAnsi="Calibri"/>
    </w:rPr>
  </w:style>
  <w:style w:type="paragraph" w:customStyle="1" w:styleId="style4110">
    <w:name w:val="BVI fnr Car Car Car Car Char"/>
    <w:basedOn w:val="style0"/>
    <w:next w:val="style4110"/>
    <w:link w:val="style38"/>
    <w:uiPriority w:val="99"/>
    <w:pPr>
      <w:spacing w:after="0" w:lineRule="auto" w:line="240"/>
    </w:pPr>
    <w:rPr>
      <w:vertAlign w:val="superscript"/>
    </w:rPr>
  </w:style>
  <w:style w:type="paragraph" w:styleId="style21">
    <w:name w:val="toc 3"/>
    <w:basedOn w:val="style0"/>
    <w:next w:val="style0"/>
    <w:uiPriority w:val="39"/>
    <w:pPr>
      <w:spacing w:after="100"/>
      <w:ind w:left="440"/>
    </w:pPr>
    <w:rPr/>
  </w:style>
  <w:style w:type="paragraph" w:customStyle="1" w:styleId="style4111">
    <w:name w:val="Numbered Para"/>
    <w:basedOn w:val="style0"/>
    <w:next w:val="style4111"/>
    <w:qFormat/>
    <w:pPr>
      <w:spacing w:before="120" w:after="60" w:lineRule="auto" w:line="240"/>
      <w:jc w:val="both"/>
    </w:pPr>
    <w:rPr>
      <w:rFonts w:ascii="Tahoma" w:cs="Times New Roman" w:eastAsia="Times New Roman" w:hAnsi="Tahoma"/>
      <w:sz w:val="20"/>
      <w:szCs w:val="24"/>
      <w:lang w:val="en-GB" w:eastAsia="en-GB"/>
    </w:rPr>
  </w:style>
  <w:style w:type="paragraph" w:styleId="style34">
    <w:name w:val="caption"/>
    <w:basedOn w:val="style0"/>
    <w:next w:val="style0"/>
    <w:qFormat/>
    <w:uiPriority w:val="35"/>
    <w:pPr>
      <w:keepNext/>
      <w:spacing w:before="120" w:after="120" w:lineRule="auto" w:line="240"/>
      <w:jc w:val="center"/>
    </w:pPr>
    <w:rPr>
      <w:rFonts w:ascii="Tahoma" w:cs="Times New Roman" w:eastAsia="Times New Roman" w:hAnsi="Tahoma"/>
      <w:b/>
      <w:bCs/>
      <w:sz w:val="20"/>
      <w:szCs w:val="20"/>
      <w:lang w:val="en-GB" w:eastAsia="en-GB"/>
    </w:rPr>
  </w:style>
  <w:style w:type="paragraph" w:customStyle="1" w:styleId="style4112">
    <w:name w:val="Style Caption + Centered"/>
    <w:basedOn w:val="style34"/>
    <w:next w:val="style4112"/>
    <w:pPr/>
  </w:style>
</w:styles>
</file>

<file path=word/_rels/document.xml.rels><?xml version="1.0" encoding="UTF-8"?>
<Relationships xmlns="http://schemas.openxmlformats.org/package/2006/relationships"><Relationship Id="rId20" Type="http://schemas.openxmlformats.org/officeDocument/2006/relationships/image" Target="media/image18.emf"/><Relationship Id="rId22" Type="http://schemas.openxmlformats.org/officeDocument/2006/relationships/styles" Target="styles.xml"/><Relationship Id="rId21" Type="http://schemas.openxmlformats.org/officeDocument/2006/relationships/image" Target="media/image19.emf"/><Relationship Id="rId24" Type="http://schemas.openxmlformats.org/officeDocument/2006/relationships/settings" Target="settings.xml"/><Relationship Id="rId23"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emf"/><Relationship Id="rId4" Type="http://schemas.openxmlformats.org/officeDocument/2006/relationships/image" Target="media/image3.emf"/><Relationship Id="rId9" Type="http://schemas.openxmlformats.org/officeDocument/2006/relationships/image" Target="media/image8.emf"/><Relationship Id="rId26" Type="http://schemas.openxmlformats.org/officeDocument/2006/relationships/customXml" Target="../customXml/item1.xml"/><Relationship Id="rId25" Type="http://schemas.openxmlformats.org/officeDocument/2006/relationships/theme" Target="theme/theme1.xml"/><Relationship Id="rId5" Type="http://schemas.openxmlformats.org/officeDocument/2006/relationships/image" Target="media/image4.emf"/><Relationship Id="rId6" Type="http://schemas.openxmlformats.org/officeDocument/2006/relationships/image" Target="media/image5.emf"/><Relationship Id="rId7" Type="http://schemas.openxmlformats.org/officeDocument/2006/relationships/image" Target="media/image6.emf"/><Relationship Id="rId8" Type="http://schemas.openxmlformats.org/officeDocument/2006/relationships/image" Target="media/image7.emf"/><Relationship Id="rId11" Type="http://schemas.openxmlformats.org/officeDocument/2006/relationships/image" Target="media/image10.emf"/><Relationship Id="rId10" Type="http://schemas.openxmlformats.org/officeDocument/2006/relationships/image" Target="media/image9.emf"/><Relationship Id="rId13" Type="http://schemas.openxmlformats.org/officeDocument/2006/relationships/image" Target="media/image12.emf"/><Relationship Id="rId12" Type="http://schemas.openxmlformats.org/officeDocument/2006/relationships/image" Target="media/image11.emf"/><Relationship Id="rId15" Type="http://schemas.openxmlformats.org/officeDocument/2006/relationships/image" Target="media/image14.emf"/><Relationship Id="rId14" Type="http://schemas.openxmlformats.org/officeDocument/2006/relationships/image" Target="media/image13.emf"/><Relationship Id="rId17" Type="http://schemas.openxmlformats.org/officeDocument/2006/relationships/image" Target="media/image16.emf"/><Relationship Id="rId16" Type="http://schemas.openxmlformats.org/officeDocument/2006/relationships/image" Target="media/image15.emf"/><Relationship Id="rId19" Type="http://schemas.openxmlformats.org/officeDocument/2006/relationships/image" Target="media/image17.emf"/><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5FCD-BA37-42E8-AEEA-AE2F2402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Words>8287</Words>
  <Pages>42</Pages>
  <Characters>45187</Characters>
  <Application>WPS Office</Application>
  <DocSecurity>0</DocSecurity>
  <Paragraphs>1017</Paragraphs>
  <ScaleCrop>false</ScaleCrop>
  <LinksUpToDate>false</LinksUpToDate>
  <CharactersWithSpaces>52794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2022-12-19T13:03:00Z</dcterms:created>
  <dc:creator>user</dc:creator>
  <lastModifiedBy>Infinix X683</lastModifiedBy>
  <dcterms:modified xsi:type="dcterms:W3CDTF">2023-01-04T13:26:58Z</dcterms:modified>
  <revision>68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-441317939</vt:i4>
  </property>
</Properties>
</file>